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8C" w:rsidRPr="00A5415A" w:rsidRDefault="003A0F8C" w:rsidP="003A0F8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3A0F8C" w:rsidRPr="00A5415A" w:rsidRDefault="003A0F8C" w:rsidP="003A0F8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3A0F8C" w:rsidRDefault="003A0F8C" w:rsidP="003A0F8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3A0F8C" w:rsidRPr="00A5415A" w:rsidRDefault="003A0F8C" w:rsidP="003A0F8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3A0F8C" w:rsidRDefault="003A0F8C" w:rsidP="003A0F8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A73AB">
        <w:rPr>
          <w:rFonts w:ascii="Times New Roman" w:hAnsi="Times New Roman" w:cs="Times New Roman"/>
          <w:bCs/>
          <w:sz w:val="28"/>
          <w:szCs w:val="28"/>
        </w:rPr>
        <w:t>28</w:t>
      </w:r>
      <w:r w:rsidR="00F24C51">
        <w:rPr>
          <w:rFonts w:ascii="Times New Roman" w:hAnsi="Times New Roman" w:cs="Times New Roman"/>
          <w:bCs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2023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EA73AB">
        <w:rPr>
          <w:rFonts w:ascii="Times New Roman" w:hAnsi="Times New Roman" w:cs="Times New Roman"/>
          <w:bCs/>
          <w:sz w:val="28"/>
          <w:szCs w:val="28"/>
        </w:rPr>
        <w:t>6</w:t>
      </w:r>
      <w:bookmarkStart w:id="0" w:name="_GoBack"/>
      <w:bookmarkEnd w:id="0"/>
      <w:r w:rsidR="00EA73AB">
        <w:rPr>
          <w:rFonts w:ascii="Times New Roman" w:hAnsi="Times New Roman" w:cs="Times New Roman"/>
          <w:bCs/>
          <w:sz w:val="28"/>
          <w:szCs w:val="28"/>
        </w:rPr>
        <w:t>705</w:t>
      </w:r>
      <w:r w:rsidR="00F24C51">
        <w:rPr>
          <w:rFonts w:ascii="Times New Roman" w:hAnsi="Times New Roman" w:cs="Times New Roman"/>
          <w:bCs/>
          <w:sz w:val="28"/>
          <w:szCs w:val="28"/>
        </w:rPr>
        <w:t>р</w:t>
      </w:r>
    </w:p>
    <w:p w:rsidR="003A0F8C" w:rsidRPr="008056F8" w:rsidRDefault="003A0F8C" w:rsidP="003A0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820966" w:rsidRPr="003A0F8C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A0F8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Pr="003A0F8C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A0F8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3A0F8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3A0F8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355"/>
      </w:tblGrid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</w:tcPr>
          <w:p w:rsidR="00820966" w:rsidRPr="00B361DA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866F21" w:rsidTr="00FE700E">
        <w:trPr>
          <w:trHeight w:val="1125"/>
        </w:trPr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7173E9" w:rsidRPr="00B361DA" w:rsidRDefault="00965052" w:rsidP="00340E2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аукциона: </w:t>
            </w:r>
            <w:r w:rsidR="007F1902"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на заключение договора аренды земельного участка,  </w:t>
            </w:r>
            <w:r w:rsid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собственность на который не разграничена.</w:t>
            </w:r>
          </w:p>
          <w:p w:rsidR="00B325C5" w:rsidRPr="00B361DA" w:rsidRDefault="00BC285B" w:rsidP="00340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1: Земельный участок (категория земель - земли населенных пунктов)</w:t>
            </w:r>
            <w:r w:rsidR="003A0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государственная </w:t>
            </w:r>
            <w:proofErr w:type="gramStart"/>
            <w:r w:rsidR="003A0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="003A0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разграничена,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кадастровым номером 29:22:</w:t>
            </w:r>
            <w:r w:rsidR="00B361DA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011302:526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общей площадью </w:t>
            </w:r>
            <w:r w:rsidR="00B361DA" w:rsidRPr="00B36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82 110</w:t>
            </w:r>
            <w:r w:rsidR="00B361DA" w:rsidRPr="00B36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</w:t>
            </w:r>
            <w:r w:rsidR="00690EBE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F1902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расположенный </w:t>
            </w:r>
            <w:r w:rsidR="003A0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адресу: </w:t>
            </w:r>
            <w:r w:rsidR="00B361DA"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</w:t>
            </w:r>
            <w:r w:rsidR="00340E23">
              <w:rPr>
                <w:rFonts w:ascii="Times New Roman" w:hAnsi="Times New Roman" w:cs="Times New Roman"/>
                <w:b/>
                <w:sz w:val="24"/>
                <w:szCs w:val="24"/>
              </w:rPr>
              <w:t>ьская область, городской округ "Г</w:t>
            </w:r>
            <w:r w:rsidR="00B361DA"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ород Архангельск</w:t>
            </w:r>
            <w:r w:rsidR="00340E23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B361DA"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город Архангельск, улица Капитана </w:t>
            </w:r>
            <w:proofErr w:type="spellStart"/>
            <w:r w:rsidR="00B361DA"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Хромцова</w:t>
            </w:r>
            <w:proofErr w:type="spellEnd"/>
            <w:r w:rsidR="00B361DA"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, земельный участок 6/3</w:t>
            </w:r>
            <w:r w:rsidR="00965052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</w:t>
            </w:r>
            <w:r w:rsidR="00642C5E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D3A42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складов</w:t>
            </w:r>
            <w:r w:rsidR="00B361DA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складских площадок</w:t>
            </w:r>
            <w:r w:rsidR="004D3A42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B361DA" w:rsidRPr="00B361DA" w:rsidRDefault="00B361DA" w:rsidP="00F36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 земельного участка – 7 лет с момента подписания договора аренды.</w:t>
            </w:r>
          </w:p>
          <w:p w:rsidR="00B361DA" w:rsidRPr="00B361DA" w:rsidRDefault="00B361DA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B361DA" w:rsidRPr="00B361DA" w:rsidRDefault="00B361DA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1 079 000 (Один миллион семьде</w:t>
            </w:r>
            <w:r w:rsidR="005E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сят девять тысяч) рублей 00 копеек.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361DA" w:rsidRPr="00B361DA" w:rsidRDefault="00B361DA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B361DA" w:rsidRPr="00B361DA" w:rsidRDefault="00B361DA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1 079 000 (Один миллион семьдесят девять тысяч) рублей 00 коп</w:t>
            </w:r>
            <w:r w:rsidR="005E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  <w:r w:rsidR="00F9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61DA" w:rsidRPr="00B361DA" w:rsidRDefault="00B361DA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B361DA" w:rsidRDefault="00B361DA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32 370 (Тридцать две тысячи </w:t>
            </w:r>
            <w:r w:rsidR="00F9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триста семьдесят) рублей 00 копеек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F9092E" w:rsidRPr="00B361DA" w:rsidRDefault="00F9092E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860259" w:rsidRPr="00B361DA" w:rsidRDefault="00860259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B361DA" w:rsidRPr="00B361DA" w:rsidRDefault="00B361DA" w:rsidP="00790A4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подтопления муниципального образования "Город Архангельск" (территориальный округ </w:t>
            </w:r>
            <w:proofErr w:type="spellStart"/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Маймаксанский</w:t>
            </w:r>
            <w:proofErr w:type="spellEnd"/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(реестровый номер 29:00-6.273).</w:t>
            </w:r>
          </w:p>
          <w:p w:rsidR="00704912" w:rsidRPr="00B361DA" w:rsidRDefault="00704912" w:rsidP="0086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</w:t>
            </w:r>
            <w:r w:rsidR="00936CED">
              <w:rPr>
                <w:rFonts w:ascii="Times New Roman" w:hAnsi="Times New Roman" w:cs="Times New Roman"/>
                <w:sz w:val="24"/>
                <w:szCs w:val="24"/>
              </w:rPr>
              <w:t xml:space="preserve">зданий, строений, сооружений – 8 </w:t>
            </w:r>
            <w:proofErr w:type="spellStart"/>
            <w:r w:rsidR="00936CED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="00936CED">
              <w:rPr>
                <w:rFonts w:ascii="Times New Roman" w:hAnsi="Times New Roman" w:cs="Times New Roman"/>
                <w:sz w:val="24"/>
                <w:szCs w:val="24"/>
              </w:rPr>
              <w:t>./40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м, максимальный процент застройки в </w:t>
            </w:r>
            <w:r w:rsidR="00321782">
              <w:rPr>
                <w:rFonts w:ascii="Times New Roman" w:hAnsi="Times New Roman" w:cs="Times New Roman"/>
                <w:sz w:val="24"/>
                <w:szCs w:val="24"/>
              </w:rPr>
              <w:t xml:space="preserve">границах земельного участка – </w:t>
            </w:r>
            <w:r w:rsidR="00936CE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процентов, минимальный процент застройки в границах земельного участка – 10 процентов.</w:t>
            </w:r>
          </w:p>
          <w:p w:rsidR="00A53FFB" w:rsidRPr="00B361DA" w:rsidRDefault="00A53FFB" w:rsidP="00A5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 w:rsidR="00936CED">
              <w:rPr>
                <w:rFonts w:ascii="Times New Roman" w:hAnsi="Times New Roman" w:cs="Times New Roman"/>
                <w:sz w:val="24"/>
                <w:szCs w:val="24"/>
              </w:rPr>
              <w:t>коммунально-складской зоне (кодовое обозначение зоны – П</w:t>
            </w:r>
            <w:proofErr w:type="gramStart"/>
            <w:r w:rsidR="00936C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) с видом разрешенного использования "Склады</w:t>
            </w:r>
            <w:r w:rsidR="00321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782" w:rsidRPr="00B361DA">
              <w:rPr>
                <w:rFonts w:ascii="Times New Roman" w:hAnsi="Times New Roman" w:cs="Times New Roman"/>
                <w:sz w:val="24"/>
                <w:szCs w:val="24"/>
              </w:rPr>
              <w:t>(6.9)</w:t>
            </w:r>
            <w:r w:rsidR="00936CED">
              <w:rPr>
                <w:rFonts w:ascii="Times New Roman" w:hAnsi="Times New Roman" w:cs="Times New Roman"/>
                <w:sz w:val="24"/>
                <w:szCs w:val="24"/>
              </w:rPr>
              <w:t>, складские площадки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CED">
              <w:rPr>
                <w:rFonts w:ascii="Times New Roman" w:hAnsi="Times New Roman" w:cs="Times New Roman"/>
                <w:sz w:val="24"/>
                <w:szCs w:val="24"/>
              </w:rPr>
              <w:t>(6.9.1.)"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3A42" w:rsidRPr="00B361DA" w:rsidRDefault="004D3A42" w:rsidP="0086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В соответстви</w:t>
            </w:r>
            <w:r w:rsidR="00403DEB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и с Правилами землепользования и застройки в </w:t>
            </w:r>
            <w:r w:rsidR="00BF3F8A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коммунально-складской зоне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с кодовым </w:t>
            </w:r>
            <w:r w:rsidR="00BF3F8A">
              <w:rPr>
                <w:rFonts w:ascii="Times New Roman" w:hAnsi="Times New Roman" w:cs="Times New Roman"/>
                <w:sz w:val="24"/>
                <w:szCs w:val="24"/>
              </w:rPr>
              <w:t>обозначением П</w:t>
            </w:r>
            <w:proofErr w:type="gramStart"/>
            <w:r w:rsidR="00BF3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403DEB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предусмотрены следующие виды разрешенного использования:</w:t>
            </w:r>
          </w:p>
          <w:p w:rsidR="00D93FE2" w:rsidRPr="00B361DA" w:rsidRDefault="00255356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разреше</w:t>
            </w:r>
            <w:r w:rsidR="00D93FE2"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D93FE2" w:rsidRPr="00464F7B" w:rsidTr="00F75F08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D93FE2" w:rsidRPr="00464F7B" w:rsidRDefault="00255356" w:rsidP="00EA73AB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разрешенного использования</w:t>
                  </w:r>
                  <w:r w:rsidR="00D93FE2"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93FE2" w:rsidRPr="00464F7B" w:rsidTr="00F75F08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D93FE2" w:rsidRPr="00464F7B" w:rsidRDefault="00255356" w:rsidP="00EA73AB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D93FE2" w:rsidRPr="00464F7B" w:rsidRDefault="00255356" w:rsidP="00EA73AB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разрешенного использования</w:t>
                  </w:r>
                </w:p>
              </w:tc>
            </w:tr>
            <w:tr w:rsidR="00D93FE2" w:rsidRPr="00464F7B" w:rsidTr="00F9092E">
              <w:trPr>
                <w:trHeight w:val="978"/>
                <w:jc w:val="center"/>
              </w:trPr>
              <w:tc>
                <w:tcPr>
                  <w:tcW w:w="2350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Коммунальное обслуживание (3.1)</w:t>
                  </w:r>
                </w:p>
              </w:tc>
              <w:tc>
                <w:tcPr>
                  <w:tcW w:w="6784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</w:t>
                  </w: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мастерские для обслуживания уборочной и аварийной техники,</w:t>
                  </w: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сооружений, необходимых для сбора и плавки снега,</w:t>
                  </w: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 также здания или помещения, предназначенные для приема физических и юридических лиц в связи с предоставлением им коммунальных услуг.</w:t>
                  </w:r>
                  <w:proofErr w:type="gramEnd"/>
                </w:p>
              </w:tc>
            </w:tr>
            <w:tr w:rsidR="00D93FE2" w:rsidRPr="00464F7B" w:rsidTr="00F75F08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Служебные гаражи</w:t>
                  </w:r>
                  <w:r w:rsidRPr="00464F7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84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      </w:r>
                  <w:hyperlink r:id="rId9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10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а также для стоянки и хранения транспортных средств общего пользования, в том числе в депо.</w:t>
                  </w:r>
                </w:p>
              </w:tc>
            </w:tr>
            <w:tr w:rsidR="00D93FE2" w:rsidRPr="00464F7B" w:rsidTr="00F9092E">
              <w:trPr>
                <w:trHeight w:val="1145"/>
                <w:jc w:val="center"/>
              </w:trPr>
              <w:tc>
                <w:tcPr>
                  <w:tcW w:w="2350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784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1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2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D93FE2" w:rsidRPr="00464F7B" w:rsidTr="00F75F08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84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proofErr w:type="gramStart"/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складов.</w:t>
                  </w:r>
                  <w:proofErr w:type="gramEnd"/>
                </w:p>
              </w:tc>
            </w:tr>
            <w:tr w:rsidR="00D93FE2" w:rsidRPr="00464F7B" w:rsidTr="00702D32">
              <w:trPr>
                <w:trHeight w:val="949"/>
                <w:jc w:val="center"/>
              </w:trPr>
              <w:tc>
                <w:tcPr>
                  <w:tcW w:w="2350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Складские площадки </w:t>
                  </w:r>
                  <w:r w:rsidRPr="00464F7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(6.9.1)</w:t>
                  </w:r>
                </w:p>
              </w:tc>
              <w:tc>
                <w:tcPr>
                  <w:tcW w:w="6784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Временное хранение, распределение и перевалка грузов </w:t>
                  </w:r>
                  <w:r w:rsidR="00790A4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 </w:t>
                  </w:r>
                  <w:r w:rsidR="00790A4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 открытом воздухе.</w:t>
                  </w:r>
                </w:p>
              </w:tc>
            </w:tr>
            <w:tr w:rsidR="00D93FE2" w:rsidRPr="00464F7B" w:rsidTr="00F9092E">
              <w:trPr>
                <w:trHeight w:val="1343"/>
                <w:jc w:val="center"/>
              </w:trPr>
              <w:tc>
                <w:tcPr>
                  <w:tcW w:w="2350" w:type="dxa"/>
                </w:tcPr>
                <w:p w:rsidR="00936CED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Хранение и переработка сельскохозяйственной продукции (1.15)</w:t>
                  </w:r>
                </w:p>
                <w:p w:rsidR="00D93FE2" w:rsidRPr="00464F7B" w:rsidRDefault="00D93FE2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D93FE2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зданий, сооружений, используемых </w:t>
                  </w:r>
                  <w:r w:rsidR="00790A4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936CED" w:rsidRPr="00464F7B" w:rsidTr="00F75F08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936CED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84" w:type="dxa"/>
                </w:tcPr>
                <w:p w:rsidR="00936CED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936CED" w:rsidRPr="00464F7B" w:rsidRDefault="00936CED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3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4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0208CA" w:rsidRDefault="000208CA" w:rsidP="00D93FE2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4"/>
                <w:szCs w:val="24"/>
              </w:rPr>
            </w:pPr>
          </w:p>
          <w:p w:rsidR="00D93FE2" w:rsidRPr="00B361DA" w:rsidRDefault="00255356" w:rsidP="00D93FE2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разреше</w:t>
            </w:r>
            <w:r w:rsidR="00D93FE2" w:rsidRPr="00B361DA">
              <w:rPr>
                <w:sz w:val="24"/>
                <w:szCs w:val="24"/>
              </w:rPr>
              <w:t>нные виды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D93FE2" w:rsidRPr="000208CA" w:rsidTr="00F75F08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D93FE2" w:rsidRPr="000208CA" w:rsidRDefault="00255356" w:rsidP="00EA73AB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5535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разрешенного использования</w:t>
                  </w:r>
                </w:p>
              </w:tc>
            </w:tr>
            <w:tr w:rsidR="00255356" w:rsidRPr="000208CA" w:rsidTr="00F75F08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255356" w:rsidRPr="00464F7B" w:rsidRDefault="00255356" w:rsidP="00EA73AB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255356" w:rsidRPr="00464F7B" w:rsidRDefault="00255356" w:rsidP="00EA73AB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разрешенного использования</w:t>
                  </w:r>
                </w:p>
              </w:tc>
            </w:tr>
            <w:tr w:rsidR="00D93FE2" w:rsidRPr="000208CA" w:rsidTr="00F75F08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D93FE2" w:rsidRPr="000208CA" w:rsidRDefault="000208CA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Размещение гаражей для собственных нужд (2.7.2)</w:t>
                  </w:r>
                </w:p>
              </w:tc>
              <w:tc>
                <w:tcPr>
                  <w:tcW w:w="6784" w:type="dxa"/>
                </w:tcPr>
                <w:p w:rsidR="00D93FE2" w:rsidRDefault="000208CA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08C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      </w:r>
                </w:p>
                <w:p w:rsidR="00F24C51" w:rsidRDefault="00F24C51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24C51" w:rsidRPr="000208CA" w:rsidRDefault="00F24C51" w:rsidP="00EA73AB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93FE2" w:rsidRPr="00B361DA" w:rsidRDefault="00D93FE2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</w:t>
            </w:r>
          </w:p>
          <w:p w:rsidR="00D93FE2" w:rsidRPr="00B361DA" w:rsidRDefault="00D93FE2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1.Вспомогательные виды разрешенного использования допустимы только в качестве </w:t>
            </w:r>
            <w:proofErr w:type="gramStart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CB61D0" w:rsidRPr="00B361DA" w:rsidRDefault="00D93FE2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2.Для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F25577" w:rsidRPr="00B361DA" w:rsidTr="00790A4A">
              <w:tc>
                <w:tcPr>
                  <w:tcW w:w="3041" w:type="dxa"/>
                  <w:vAlign w:val="center"/>
                </w:tcPr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7pt"/>
                      <w:rFonts w:eastAsiaTheme="minorHAnsi"/>
                      <w:sz w:val="24"/>
                      <w:szCs w:val="24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1" w:type="dxa"/>
                  <w:vAlign w:val="center"/>
                </w:tcPr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7pt"/>
                      <w:rFonts w:eastAsiaTheme="minorHAnsi"/>
                      <w:sz w:val="24"/>
                      <w:szCs w:val="24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  <w:vAlign w:val="center"/>
                </w:tcPr>
                <w:p w:rsidR="00F25577" w:rsidRP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F25577" w:rsidRPr="00B361DA" w:rsidTr="00F25577">
              <w:tc>
                <w:tcPr>
                  <w:tcW w:w="3041" w:type="dxa"/>
                </w:tcPr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и аварийной техники, сооружений, необходимых для сбора и плавки снега, 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а также здания или помещения, предназначенные для приема физических и юридических лиц в связи 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</w:tcPr>
                <w:p w:rsidR="003A0F8C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Минимальные размеры земельного участка для размещения пунктов редуцирования газа - 4 га, для размещения газонаполнительной станции - 6 га при производительности </w:t>
                  </w:r>
                </w:p>
                <w:p w:rsidR="003A0F8C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10 тыс.</w:t>
                  </w:r>
                  <w:r w:rsidR="00255356">
                    <w:rPr>
                      <w:rStyle w:val="85pt"/>
                      <w:bCs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т/год, для газораспределительной станции - 0,01 га при производительности </w:t>
                  </w:r>
                </w:p>
                <w:p w:rsidR="00F25577" w:rsidRPr="00B361DA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до 100 м.</w:t>
                  </w:r>
                  <w:r w:rsidR="00255356">
                    <w:rPr>
                      <w:rStyle w:val="85pt"/>
                      <w:bCs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куб/час включительно.</w:t>
                  </w:r>
                </w:p>
                <w:p w:rsidR="003A0F8C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Минимальные размеры земельного участка для размещения котельных - 0,7 га при производительности </w:t>
                  </w:r>
                  <w:proofErr w:type="gram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до</w:t>
                  </w:r>
                  <w:proofErr w:type="gram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F25577" w:rsidRPr="00B361DA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5 Гкал/</w:t>
                  </w:r>
                  <w:proofErr w:type="gram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ч</w:t>
                  </w:r>
                  <w:proofErr w:type="gram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(МВт). 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F25577" w:rsidRPr="00B361DA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Максимальные размеры земельного участка - не подлежит установлению.</w:t>
                  </w:r>
                </w:p>
                <w:p w:rsidR="00F25577" w:rsidRPr="00B361DA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Минимальный процент застройки в границах земельного участка - 10.</w:t>
                  </w:r>
                </w:p>
                <w:p w:rsidR="00F25577" w:rsidRPr="00B361DA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Максимальный процент застройки в границах земельного участка - 50.</w:t>
                  </w:r>
                </w:p>
                <w:p w:rsidR="00F25577" w:rsidRPr="00B361DA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  <w:r w:rsidR="00790A4A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  <w:r w:rsidR="00790A4A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lastRenderedPageBreak/>
                    <w:t>на которых расположены здания, строения и сооружения.</w:t>
                  </w:r>
                </w:p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Предельное количество надземных этажей - 3. Предельная высота объекта не более 20 м. Минимальная доля озеленения территории </w:t>
                  </w:r>
                  <w:r w:rsidR="003A0F8C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–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15</w:t>
                  </w:r>
                  <w:r w:rsidR="003A0F8C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%</w:t>
                  </w:r>
                </w:p>
              </w:tc>
            </w:tr>
            <w:tr w:rsidR="00F25577" w:rsidRPr="00B361DA" w:rsidTr="00F25577">
              <w:tc>
                <w:tcPr>
                  <w:tcW w:w="3041" w:type="dxa"/>
                </w:tcPr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F25577" w:rsidRPr="00B361DA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left="20"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Размещение площадок </w:t>
                  </w:r>
                  <w:r w:rsidR="00790A4A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</w:tcPr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 участка не подлежат уточнению</w:t>
                  </w:r>
                </w:p>
              </w:tc>
            </w:tr>
            <w:tr w:rsidR="00F25577" w:rsidRPr="00B361DA" w:rsidTr="00F25577">
              <w:tc>
                <w:tcPr>
                  <w:tcW w:w="3041" w:type="dxa"/>
                </w:tcPr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рритории, общественных туалетов</w:t>
                  </w:r>
                </w:p>
              </w:tc>
              <w:tc>
                <w:tcPr>
                  <w:tcW w:w="3042" w:type="dxa"/>
                </w:tcPr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F25577" w:rsidRPr="00B361DA" w:rsidTr="00F25577">
              <w:tc>
                <w:tcPr>
                  <w:tcW w:w="3041" w:type="dxa"/>
                </w:tcPr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F25577" w:rsidRPr="00B361DA" w:rsidRDefault="00F25577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Размещение объектов улично</w:t>
                  </w:r>
                  <w:r w:rsidR="00790A4A">
                    <w:rPr>
                      <w:rStyle w:val="85pt"/>
                      <w:bCs/>
                      <w:sz w:val="24"/>
                      <w:szCs w:val="24"/>
                    </w:rPr>
                    <w:t>-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дорожной сети: автомобильных дорог, трамвайных путей и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lastRenderedPageBreak/>
                    <w:t xml:space="preserve">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дств 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</w:t>
                  </w:r>
                  <w:proofErr w:type="gramEnd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F25577" w:rsidRPr="00B361DA" w:rsidRDefault="00F25577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земельного участка,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земельного у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</w:tbl>
          <w:p w:rsidR="00D93FE2" w:rsidRPr="00B361DA" w:rsidRDefault="00ED6EEF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Для всех объектов основных и условно разрешенных видов использования </w:t>
            </w:r>
            <w:r w:rsidR="00790A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</w:t>
            </w:r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использования является </w:t>
            </w:r>
            <w:proofErr w:type="gramStart"/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>следующий</w:t>
            </w:r>
            <w:proofErr w:type="gramEnd"/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255356" w:rsidRPr="00B361DA" w:rsidTr="00790A4A">
              <w:tc>
                <w:tcPr>
                  <w:tcW w:w="3041" w:type="dxa"/>
                  <w:vAlign w:val="center"/>
                </w:tcPr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7pt"/>
                      <w:rFonts w:eastAsiaTheme="minorHAnsi"/>
                      <w:sz w:val="24"/>
                      <w:szCs w:val="24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1" w:type="dxa"/>
                  <w:vAlign w:val="center"/>
                </w:tcPr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7pt"/>
                      <w:rFonts w:eastAsiaTheme="minorHAnsi"/>
                      <w:sz w:val="24"/>
                      <w:szCs w:val="24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  <w:vAlign w:val="center"/>
                </w:tcPr>
                <w:p w:rsidR="00255356" w:rsidRP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255356" w:rsidRPr="00B361DA" w:rsidTr="00ED6EEF">
              <w:tc>
                <w:tcPr>
                  <w:tcW w:w="3041" w:type="dxa"/>
                </w:tcPr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себя содержание видов разрешенного испо</w:t>
                  </w:r>
                  <w:r w:rsidR="00790A4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льзования с кодами 3.4.1 -3.4.2</w:t>
                  </w:r>
                </w:p>
              </w:tc>
              <w:tc>
                <w:tcPr>
                  <w:tcW w:w="3042" w:type="dxa"/>
                </w:tcPr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Минимальный размер земельного участка - </w:t>
                  </w:r>
                  <w:r w:rsidR="00790A4A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Максимальные размеры земельного участка - </w:t>
                  </w:r>
                  <w:r w:rsidR="00790A4A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процент застройки в границах земельного участка - 10.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 - 60.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Предельное количество надземных этажей - 16.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Предельная высота объекта не более 50 м. Минимальная доля </w:t>
                  </w:r>
                  <w:r w:rsidRPr="00790A4A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t xml:space="preserve">озеленения территории </w:t>
                  </w:r>
                  <w:r w:rsidR="00790A4A" w:rsidRPr="00790A4A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t>–</w:t>
                  </w:r>
                  <w:r w:rsidRPr="00790A4A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t xml:space="preserve"> 15</w:t>
                  </w:r>
                  <w:r w:rsidR="00790A4A" w:rsidRPr="00790A4A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t xml:space="preserve"> %</w:t>
                  </w:r>
                </w:p>
              </w:tc>
            </w:tr>
          </w:tbl>
          <w:p w:rsidR="00ED6EEF" w:rsidRPr="00B361DA" w:rsidRDefault="00632CE8" w:rsidP="00415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D6EEF" w:rsidRPr="00B361DA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255356" w:rsidRPr="00B361DA" w:rsidTr="004C5C92">
              <w:tc>
                <w:tcPr>
                  <w:tcW w:w="3041" w:type="dxa"/>
                  <w:vAlign w:val="center"/>
                </w:tcPr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7pt"/>
                      <w:rFonts w:eastAsiaTheme="minorHAnsi"/>
                      <w:sz w:val="24"/>
                      <w:szCs w:val="24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lastRenderedPageBreak/>
                    <w:t>Виды разрешенного использования земельных участков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1" w:type="dxa"/>
                  <w:vAlign w:val="center"/>
                </w:tcPr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7pt"/>
                      <w:rFonts w:eastAsiaTheme="minorHAnsi"/>
                      <w:sz w:val="24"/>
                      <w:szCs w:val="24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  <w:vAlign w:val="center"/>
                </w:tcPr>
                <w:p w:rsidR="00255356" w:rsidRP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255356" w:rsidRPr="00B361DA" w:rsidTr="006361B1">
              <w:tc>
                <w:tcPr>
                  <w:tcW w:w="3041" w:type="dxa"/>
                </w:tcPr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Предпринимательство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(4.0)</w:t>
                  </w:r>
                </w:p>
              </w:tc>
              <w:tc>
                <w:tcPr>
                  <w:tcW w:w="3041" w:type="dxa"/>
                </w:tcPr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</w:t>
                  </w:r>
                  <w:r w:rsidR="004C5C9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предусмотренных кодами 4.1-4.10</w:t>
                  </w:r>
                </w:p>
              </w:tc>
              <w:tc>
                <w:tcPr>
                  <w:tcW w:w="3042" w:type="dxa"/>
                </w:tcPr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участка: </w:t>
                  </w: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-л</w:t>
                  </w:r>
                  <w:proofErr w:type="gramEnd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ечебно-профилактические медицинские организации, оказывающие медицинскую помощь 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до 50 коек - 250 кв.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 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на 1 койку;</w:t>
                  </w:r>
                </w:p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50 до 100 коек – 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150 кв.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свыше 100 до 200 коек – 100 кв.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200 до 400 коек – 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80 кв.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400 до 800 коек – 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60 кв.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 на 1 койку; 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свыше 800 коек – 50 кв.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- медицинские организации скорой медицинской помощи – 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000 кв.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 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на 1 автомобиль; 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если 2 и более автомобилей, то 500 кв.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каждый автомобиль.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Максимальные размеры земельного участка – не подлежит установлению.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то максимальный процент застройки земельного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участка определяется </w:t>
                  </w:r>
                  <w:r w:rsidR="004C5C9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  <w:r w:rsidR="001669A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на которых расположены здания, строения и сооружения.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Минимальная доля озеленения территории – 15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="004C5C9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7F0454" w:rsidRPr="00B361DA" w:rsidRDefault="007F0454" w:rsidP="00415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дополнение для основного в</w:t>
            </w:r>
            <w:r w:rsidR="002B0F73">
              <w:rPr>
                <w:rFonts w:ascii="Times New Roman" w:hAnsi="Times New Roman" w:cs="Times New Roman"/>
                <w:sz w:val="24"/>
                <w:szCs w:val="24"/>
              </w:rPr>
              <w:t>ида разрешенного использования "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Малоэтажная </w:t>
            </w:r>
            <w:r w:rsidR="002B0F73">
              <w:rPr>
                <w:rStyle w:val="6"/>
                <w:rFonts w:eastAsiaTheme="minorHAnsi"/>
                <w:sz w:val="24"/>
                <w:szCs w:val="24"/>
                <w:u w:val="none"/>
              </w:rPr>
              <w:t>многоквартирная жилая застройка"</w:t>
            </w:r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 (код 2.1.1)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255356" w:rsidRPr="00B361DA" w:rsidTr="004C5C92">
              <w:tc>
                <w:tcPr>
                  <w:tcW w:w="3041" w:type="dxa"/>
                  <w:vAlign w:val="center"/>
                </w:tcPr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7pt"/>
                      <w:rFonts w:eastAsiaTheme="minorHAnsi"/>
                      <w:sz w:val="24"/>
                      <w:szCs w:val="24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1" w:type="dxa"/>
                  <w:vAlign w:val="center"/>
                </w:tcPr>
                <w:p w:rsid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7pt"/>
                      <w:rFonts w:eastAsiaTheme="minorHAnsi"/>
                      <w:sz w:val="24"/>
                      <w:szCs w:val="24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  <w:vAlign w:val="center"/>
                </w:tcPr>
                <w:p w:rsidR="00255356" w:rsidRPr="00255356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255356" w:rsidRPr="00B361DA" w:rsidTr="007F0454">
              <w:tc>
                <w:tcPr>
                  <w:tcW w:w="3041" w:type="dxa"/>
                </w:tcPr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B361DA">
                    <w:rPr>
                      <w:rStyle w:val="85pt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2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- до 3 машин </w:t>
                  </w:r>
                  <w:r w:rsidR="00B66CA4">
                    <w:rPr>
                      <w:rStyle w:val="85pt"/>
                      <w:sz w:val="24"/>
                      <w:szCs w:val="24"/>
                    </w:rPr>
                    <w:t>–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5</w:t>
                  </w:r>
                  <w:r w:rsidR="00B66CA4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000 кв.</w:t>
                  </w:r>
                  <w:r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м;</w:t>
                  </w:r>
                </w:p>
                <w:p w:rsidR="00255356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9"/>
                    </w:tabs>
                    <w:spacing w:before="0" w:after="0" w:line="227" w:lineRule="exact"/>
                    <w:ind w:firstLine="0"/>
                    <w:jc w:val="left"/>
                    <w:rPr>
                      <w:rStyle w:val="85pt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- от 4 до 6 машин </w:t>
                  </w:r>
                  <w:r>
                    <w:rPr>
                      <w:rStyle w:val="85pt"/>
                      <w:sz w:val="24"/>
                      <w:szCs w:val="24"/>
                    </w:rPr>
                    <w:t>–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9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9</w:t>
                  </w:r>
                  <w:r w:rsidR="00B66CA4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000 кв.</w:t>
                  </w:r>
                  <w:r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м;</w:t>
                  </w:r>
                </w:p>
                <w:p w:rsidR="00255356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42"/>
                    </w:tabs>
                    <w:spacing w:before="0" w:after="0" w:line="227" w:lineRule="exact"/>
                    <w:ind w:firstLine="0"/>
                    <w:jc w:val="left"/>
                    <w:rPr>
                      <w:rStyle w:val="85pt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- от 8 до 10 машин </w:t>
                  </w:r>
                  <w:r>
                    <w:rPr>
                      <w:rStyle w:val="85pt"/>
                      <w:sz w:val="24"/>
                      <w:szCs w:val="24"/>
                    </w:rPr>
                    <w:t>–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42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18 000 кв.</w:t>
                  </w:r>
                  <w:r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86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не подлежат установлению.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процент застройки в границах земельного участка - 10.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 - 80. Предельное количество надземных этажей - не подлежит установлению.</w:t>
                  </w:r>
                </w:p>
                <w:p w:rsidR="00255356" w:rsidRPr="00B361DA" w:rsidRDefault="00255356" w:rsidP="00EA73AB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Предельная высота объекта - не подлежит установлению.</w:t>
                  </w:r>
                </w:p>
                <w:p w:rsidR="00255356" w:rsidRPr="00B361DA" w:rsidRDefault="00255356" w:rsidP="00EA73A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Минимальная доля озеленения территории 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–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15</w:t>
                  </w: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="00B66CA4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18757C" w:rsidRPr="00B361DA" w:rsidRDefault="0018757C" w:rsidP="00415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6B21C5" w:rsidRPr="00B361DA" w:rsidRDefault="004D3A42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lastRenderedPageBreak/>
              <w:t>1.</w:t>
            </w:r>
            <w:r w:rsidR="006D4773" w:rsidRPr="00B361DA">
              <w:rPr>
                <w:sz w:val="24"/>
                <w:szCs w:val="24"/>
              </w:rPr>
              <w:t>Водоснабжение, водоотведение:</w:t>
            </w:r>
            <w:r w:rsidR="006B21C5" w:rsidRPr="00B361DA">
              <w:rPr>
                <w:sz w:val="24"/>
                <w:szCs w:val="24"/>
              </w:rPr>
              <w:t xml:space="preserve"> возможность подключения к централизованной системе водоснабжения г. Архангельска объекта </w:t>
            </w:r>
            <w:r w:rsidR="000208CA">
              <w:rPr>
                <w:sz w:val="24"/>
                <w:szCs w:val="24"/>
              </w:rPr>
              <w:t xml:space="preserve">капитального строительства </w:t>
            </w:r>
            <w:r w:rsidR="00B66CA4">
              <w:rPr>
                <w:sz w:val="24"/>
                <w:szCs w:val="24"/>
              </w:rPr>
              <w:br/>
            </w:r>
            <w:r w:rsidR="006B21C5" w:rsidRPr="00B361DA">
              <w:rPr>
                <w:sz w:val="24"/>
                <w:szCs w:val="24"/>
              </w:rPr>
              <w:t>на земельном участке с када</w:t>
            </w:r>
            <w:r w:rsidR="000208CA">
              <w:rPr>
                <w:sz w:val="24"/>
                <w:szCs w:val="24"/>
              </w:rPr>
              <w:t>стровым номером 29:22:011302:526</w:t>
            </w:r>
            <w:r w:rsidR="006B21C5" w:rsidRPr="00B361DA">
              <w:rPr>
                <w:sz w:val="24"/>
                <w:szCs w:val="24"/>
              </w:rPr>
              <w:t xml:space="preserve"> </w:t>
            </w:r>
            <w:r w:rsidR="000208CA">
              <w:rPr>
                <w:sz w:val="24"/>
                <w:szCs w:val="24"/>
              </w:rPr>
              <w:t xml:space="preserve">в </w:t>
            </w:r>
            <w:proofErr w:type="spellStart"/>
            <w:r w:rsidR="000208CA">
              <w:rPr>
                <w:sz w:val="24"/>
                <w:szCs w:val="24"/>
              </w:rPr>
              <w:t>Маймаксанском</w:t>
            </w:r>
            <w:proofErr w:type="spellEnd"/>
            <w:r w:rsidR="000208CA">
              <w:rPr>
                <w:sz w:val="24"/>
                <w:szCs w:val="24"/>
              </w:rPr>
              <w:t xml:space="preserve"> </w:t>
            </w:r>
            <w:r w:rsidR="002B0F73">
              <w:rPr>
                <w:sz w:val="24"/>
                <w:szCs w:val="24"/>
              </w:rPr>
              <w:t>территориальном</w:t>
            </w:r>
            <w:r w:rsidR="000208CA">
              <w:rPr>
                <w:sz w:val="24"/>
                <w:szCs w:val="24"/>
              </w:rPr>
              <w:t xml:space="preserve"> округе г. Архангельска вблизи ул. Капитана </w:t>
            </w:r>
            <w:proofErr w:type="spellStart"/>
            <w:r w:rsidR="000208CA">
              <w:rPr>
                <w:sz w:val="24"/>
                <w:szCs w:val="24"/>
              </w:rPr>
              <w:t>Хромцова</w:t>
            </w:r>
            <w:proofErr w:type="spellEnd"/>
            <w:r w:rsidR="000208CA">
              <w:rPr>
                <w:sz w:val="24"/>
                <w:szCs w:val="24"/>
              </w:rPr>
              <w:t xml:space="preserve"> </w:t>
            </w:r>
            <w:r w:rsidR="006B21C5" w:rsidRPr="00B361DA">
              <w:rPr>
                <w:sz w:val="24"/>
                <w:szCs w:val="24"/>
              </w:rPr>
              <w:t xml:space="preserve">(далее </w:t>
            </w:r>
            <w:proofErr w:type="gramStart"/>
            <w:r w:rsidR="00B66CA4">
              <w:rPr>
                <w:sz w:val="24"/>
                <w:szCs w:val="24"/>
              </w:rPr>
              <w:t>–</w:t>
            </w:r>
            <w:r w:rsidR="006B21C5" w:rsidRPr="00B361DA">
              <w:rPr>
                <w:sz w:val="24"/>
                <w:szCs w:val="24"/>
              </w:rPr>
              <w:t>О</w:t>
            </w:r>
            <w:proofErr w:type="gramEnd"/>
            <w:r w:rsidR="006B21C5" w:rsidRPr="00B361DA">
              <w:rPr>
                <w:sz w:val="24"/>
                <w:szCs w:val="24"/>
              </w:rPr>
              <w:t>бъект) имеется.</w:t>
            </w:r>
          </w:p>
          <w:p w:rsidR="00885F97" w:rsidRDefault="006B21C5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Планируемая точка подк</w:t>
            </w:r>
            <w:r w:rsidR="000208CA">
              <w:rPr>
                <w:sz w:val="24"/>
                <w:szCs w:val="24"/>
              </w:rPr>
              <w:t xml:space="preserve">лючения </w:t>
            </w:r>
            <w:r w:rsidR="00321782">
              <w:rPr>
                <w:sz w:val="24"/>
                <w:szCs w:val="24"/>
              </w:rPr>
              <w:t xml:space="preserve">Объекта </w:t>
            </w:r>
            <w:r w:rsidR="000208CA">
              <w:rPr>
                <w:sz w:val="24"/>
                <w:szCs w:val="24"/>
              </w:rPr>
              <w:t xml:space="preserve">к централизованной системе холодного </w:t>
            </w:r>
            <w:r w:rsidRPr="00B361DA">
              <w:rPr>
                <w:sz w:val="24"/>
                <w:szCs w:val="24"/>
              </w:rPr>
              <w:t xml:space="preserve">водоснабжения определяется на границе земельного участка </w:t>
            </w:r>
            <w:r w:rsidR="000208CA">
              <w:rPr>
                <w:sz w:val="24"/>
                <w:szCs w:val="24"/>
              </w:rPr>
              <w:t xml:space="preserve">в пределах </w:t>
            </w:r>
            <w:r w:rsidR="00885F97">
              <w:rPr>
                <w:sz w:val="24"/>
                <w:szCs w:val="24"/>
              </w:rPr>
              <w:t xml:space="preserve">300 метров </w:t>
            </w:r>
            <w:r w:rsidR="00B66CA4">
              <w:rPr>
                <w:sz w:val="24"/>
                <w:szCs w:val="24"/>
              </w:rPr>
              <w:br/>
            </w:r>
            <w:r w:rsidR="00885F97">
              <w:rPr>
                <w:sz w:val="24"/>
                <w:szCs w:val="24"/>
              </w:rPr>
              <w:t xml:space="preserve">от действующей сети водоснабжения </w:t>
            </w:r>
            <w:proofErr w:type="spellStart"/>
            <w:r w:rsidR="00885F97">
              <w:rPr>
                <w:sz w:val="24"/>
                <w:szCs w:val="24"/>
              </w:rPr>
              <w:t>Ду</w:t>
            </w:r>
            <w:proofErr w:type="spellEnd"/>
            <w:r w:rsidR="00885F97">
              <w:rPr>
                <w:sz w:val="24"/>
                <w:szCs w:val="24"/>
              </w:rPr>
              <w:t xml:space="preserve"> 200 мм вблизи котельной ПАО "ТГК-2".</w:t>
            </w:r>
          </w:p>
          <w:p w:rsidR="00885F97" w:rsidRDefault="00885F97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Планируемая точка подключения Объекта к централизованной системе водоотведения определяется на границе земельного участка в пределах 300 метров от действующей сети водоотведения </w:t>
            </w:r>
            <w:proofErr w:type="spellStart"/>
            <w:r>
              <w:rPr>
                <w:sz w:val="24"/>
                <w:szCs w:val="24"/>
              </w:rPr>
              <w:t>Ду</w:t>
            </w:r>
            <w:proofErr w:type="spellEnd"/>
            <w:r>
              <w:rPr>
                <w:sz w:val="24"/>
                <w:szCs w:val="24"/>
              </w:rPr>
              <w:t xml:space="preserve"> 200 мм вблизи котельной ПАО "ТГК-2".</w:t>
            </w:r>
          </w:p>
          <w:p w:rsidR="00885F97" w:rsidRDefault="00885F97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– 5,0 м. куб/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B21C5" w:rsidRPr="00B361DA" w:rsidRDefault="006B21C5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</w:t>
            </w:r>
            <w:r w:rsidR="00345E29" w:rsidRPr="00B361DA">
              <w:rPr>
                <w:sz w:val="24"/>
                <w:szCs w:val="24"/>
              </w:rPr>
              <w:t>арительных технических условий -</w:t>
            </w:r>
            <w:r w:rsidRPr="00B361DA">
              <w:rPr>
                <w:sz w:val="24"/>
                <w:szCs w:val="24"/>
              </w:rPr>
              <w:t xml:space="preserve"> 1 год.</w:t>
            </w:r>
          </w:p>
          <w:p w:rsidR="006D4773" w:rsidRPr="00B361DA" w:rsidRDefault="00885F97" w:rsidP="007F6B3D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 соответствии с</w:t>
            </w:r>
            <w:r w:rsidR="006B21C5" w:rsidRPr="00B361DA">
              <w:rPr>
                <w:sz w:val="24"/>
                <w:szCs w:val="24"/>
              </w:rPr>
              <w:t xml:space="preserve"> </w:t>
            </w:r>
            <w:r w:rsidR="00DB0317">
              <w:rPr>
                <w:sz w:val="24"/>
                <w:szCs w:val="24"/>
              </w:rPr>
              <w:t>пунктом</w:t>
            </w:r>
            <w:r w:rsidRPr="00B361DA">
              <w:rPr>
                <w:sz w:val="24"/>
                <w:szCs w:val="24"/>
              </w:rPr>
              <w:t xml:space="preserve"> 13 </w:t>
            </w:r>
            <w:r w:rsidR="00DB0317">
              <w:rPr>
                <w:sz w:val="24"/>
                <w:szCs w:val="24"/>
              </w:rPr>
              <w:t>статьи</w:t>
            </w:r>
            <w:r w:rsidR="006B21C5" w:rsidRPr="00B361DA">
              <w:rPr>
                <w:sz w:val="24"/>
                <w:szCs w:val="24"/>
              </w:rPr>
              <w:t xml:space="preserve"> 18 Федерального закона </w:t>
            </w:r>
            <w:r>
              <w:rPr>
                <w:sz w:val="24"/>
                <w:szCs w:val="24"/>
              </w:rPr>
              <w:t xml:space="preserve">от 7 декабря </w:t>
            </w:r>
            <w:r w:rsidR="006B21C5" w:rsidRPr="00B361DA">
              <w:rPr>
                <w:sz w:val="24"/>
                <w:szCs w:val="24"/>
              </w:rPr>
              <w:t xml:space="preserve">2011 года </w:t>
            </w:r>
            <w:r w:rsidR="00FE700E" w:rsidRPr="00B361DA">
              <w:rPr>
                <w:sz w:val="24"/>
                <w:szCs w:val="24"/>
              </w:rPr>
              <w:br/>
            </w:r>
            <w:r w:rsidR="006B21C5" w:rsidRPr="00B361DA">
              <w:rPr>
                <w:sz w:val="24"/>
                <w:szCs w:val="24"/>
              </w:rPr>
              <w:t>№</w:t>
            </w:r>
            <w:r w:rsidR="00DB0317">
              <w:rPr>
                <w:sz w:val="24"/>
                <w:szCs w:val="24"/>
              </w:rPr>
              <w:t xml:space="preserve"> 416-</w:t>
            </w:r>
            <w:r w:rsidR="00FE700E" w:rsidRPr="00B361DA">
              <w:rPr>
                <w:sz w:val="24"/>
                <w:szCs w:val="24"/>
              </w:rPr>
              <w:t>ФЗ</w:t>
            </w:r>
            <w:r w:rsidR="006B21C5" w:rsidRPr="00B361DA">
              <w:rPr>
                <w:sz w:val="24"/>
                <w:szCs w:val="24"/>
              </w:rPr>
              <w:t xml:space="preserve"> </w:t>
            </w:r>
            <w:r w:rsidR="000E1EF1" w:rsidRPr="00B361DA">
              <w:rPr>
                <w:sz w:val="24"/>
                <w:szCs w:val="24"/>
              </w:rPr>
              <w:t>"</w:t>
            </w:r>
            <w:r w:rsidR="006B21C5" w:rsidRPr="00B361DA">
              <w:rPr>
                <w:sz w:val="24"/>
                <w:szCs w:val="24"/>
              </w:rPr>
              <w:t>О водоснабжении и водоотведении</w:t>
            </w:r>
            <w:r w:rsidR="000E1EF1" w:rsidRPr="00B361DA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, плата за подключение </w:t>
            </w:r>
            <w:r w:rsidR="006B21C5" w:rsidRPr="00B361DA">
              <w:rPr>
                <w:sz w:val="24"/>
                <w:szCs w:val="24"/>
              </w:rPr>
              <w:t xml:space="preserve">(технологическое присоединение) объектов капитального строительства </w:t>
            </w:r>
            <w:r w:rsidR="00092F2E" w:rsidRPr="00B361DA">
              <w:rPr>
                <w:sz w:val="24"/>
                <w:szCs w:val="24"/>
              </w:rPr>
              <w:br/>
            </w:r>
            <w:r w:rsidR="006B21C5" w:rsidRPr="00B361DA">
              <w:rPr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B66CA4">
              <w:rPr>
                <w:sz w:val="24"/>
                <w:szCs w:val="24"/>
              </w:rPr>
              <w:br/>
            </w:r>
            <w:r w:rsidR="006B21C5" w:rsidRPr="00B361DA">
              <w:rPr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6B21C5" w:rsidRPr="00B361DA">
              <w:rPr>
                <w:sz w:val="24"/>
                <w:szCs w:val="24"/>
              </w:rPr>
              <w:t xml:space="preserve"> подключения к централизованной системе холодног</w:t>
            </w:r>
            <w:r w:rsidR="000E1EF1" w:rsidRPr="00B361DA">
              <w:rPr>
                <w:sz w:val="24"/>
                <w:szCs w:val="24"/>
              </w:rPr>
              <w:t xml:space="preserve">о водоснабжения </w:t>
            </w:r>
            <w:r>
              <w:rPr>
                <w:sz w:val="24"/>
                <w:szCs w:val="24"/>
              </w:rPr>
              <w:t>или водоотведения</w:t>
            </w:r>
            <w:r w:rsidR="003013D2" w:rsidRPr="00B361DA">
              <w:rPr>
                <w:sz w:val="24"/>
                <w:szCs w:val="24"/>
              </w:rPr>
              <w:t xml:space="preserve"> </w:t>
            </w:r>
            <w:r w:rsidR="006D4773" w:rsidRPr="00B361DA">
              <w:rPr>
                <w:sz w:val="24"/>
                <w:szCs w:val="24"/>
              </w:rPr>
              <w:t>(письм</w:t>
            </w:r>
            <w:proofErr w:type="gramStart"/>
            <w:r w:rsidR="006D4773" w:rsidRPr="00B361DA">
              <w:rPr>
                <w:sz w:val="24"/>
                <w:szCs w:val="24"/>
              </w:rPr>
              <w:t xml:space="preserve">о </w:t>
            </w:r>
            <w:r w:rsidR="00BF0E45" w:rsidRPr="00B361DA">
              <w:rPr>
                <w:sz w:val="24"/>
                <w:szCs w:val="24"/>
              </w:rPr>
              <w:t>ООО</w:t>
            </w:r>
            <w:proofErr w:type="gramEnd"/>
            <w:r w:rsidR="006D4773" w:rsidRPr="00B361DA">
              <w:rPr>
                <w:sz w:val="24"/>
                <w:szCs w:val="24"/>
              </w:rPr>
              <w:t xml:space="preserve"> </w:t>
            </w:r>
            <w:r w:rsidR="007F1902" w:rsidRPr="00B361DA">
              <w:rPr>
                <w:sz w:val="24"/>
                <w:szCs w:val="24"/>
              </w:rPr>
              <w:t>"</w:t>
            </w:r>
            <w:r w:rsidR="00BF0E45" w:rsidRPr="00B361DA">
              <w:rPr>
                <w:sz w:val="24"/>
                <w:szCs w:val="24"/>
              </w:rPr>
              <w:t>РВК-Архангельск</w:t>
            </w:r>
            <w:r w:rsidR="007F1902" w:rsidRPr="00B361DA">
              <w:rPr>
                <w:sz w:val="24"/>
                <w:szCs w:val="24"/>
              </w:rPr>
              <w:t>"</w:t>
            </w:r>
            <w:r w:rsidR="006D4773" w:rsidRPr="00B361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="006D4773" w:rsidRPr="00B361DA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4 сентября</w:t>
            </w:r>
            <w:r w:rsidR="00903932" w:rsidRPr="00B361DA">
              <w:rPr>
                <w:sz w:val="24"/>
                <w:szCs w:val="24"/>
              </w:rPr>
              <w:t xml:space="preserve"> </w:t>
            </w:r>
            <w:r w:rsidR="00321782">
              <w:rPr>
                <w:sz w:val="24"/>
                <w:szCs w:val="24"/>
              </w:rPr>
              <w:t>2023</w:t>
            </w:r>
            <w:r w:rsidR="00216D3B" w:rsidRPr="00B361DA">
              <w:rPr>
                <w:sz w:val="24"/>
                <w:szCs w:val="24"/>
              </w:rPr>
              <w:t xml:space="preserve"> </w:t>
            </w:r>
            <w:r w:rsidR="00E641E8" w:rsidRPr="00B361DA">
              <w:rPr>
                <w:sz w:val="24"/>
                <w:szCs w:val="24"/>
              </w:rPr>
              <w:t>года</w:t>
            </w:r>
            <w:r w:rsidR="00216D3B" w:rsidRPr="00B361DA">
              <w:rPr>
                <w:sz w:val="24"/>
                <w:szCs w:val="24"/>
              </w:rPr>
              <w:t xml:space="preserve"> </w:t>
            </w:r>
            <w:r w:rsidR="006D4773" w:rsidRPr="00B361DA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И.АР-04092023-016</w:t>
            </w:r>
            <w:r w:rsidR="006D4773" w:rsidRPr="00B361DA">
              <w:rPr>
                <w:sz w:val="24"/>
                <w:szCs w:val="24"/>
              </w:rPr>
              <w:t>).</w:t>
            </w:r>
          </w:p>
          <w:p w:rsidR="00E12333" w:rsidRPr="00E12333" w:rsidRDefault="00D47D46" w:rsidP="00E12333">
            <w:pPr>
              <w:pStyle w:val="2"/>
              <w:shd w:val="clear" w:color="auto" w:fill="auto"/>
              <w:spacing w:after="0" w:line="295" w:lineRule="exact"/>
              <w:ind w:left="40"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4773" w:rsidRPr="00E12333">
              <w:rPr>
                <w:rFonts w:ascii="Times New Roman" w:hAnsi="Times New Roman" w:cs="Times New Roman"/>
                <w:sz w:val="24"/>
                <w:szCs w:val="24"/>
              </w:rPr>
              <w:t>Электроснабжение:</w:t>
            </w:r>
            <w:r w:rsidR="00EF3F23"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>согласно провед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нному предварительному анализу 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>для технологического присоединения Объекта с максимальной запрашиваемой мощностью до 200 кВт по 3 категории над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жности электроснабжения по уровню напряжения 0,4 </w:t>
            </w:r>
            <w:proofErr w:type="spellStart"/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выполнить следующие мероприятия:</w:t>
            </w:r>
          </w:p>
          <w:p w:rsidR="00E12333" w:rsidRPr="00E12333" w:rsidRDefault="00E12333" w:rsidP="00E12333">
            <w:pPr>
              <w:pStyle w:val="2"/>
              <w:shd w:val="clear" w:color="auto" w:fill="auto"/>
              <w:tabs>
                <w:tab w:val="left" w:pos="956"/>
              </w:tabs>
              <w:spacing w:after="0"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вблизи земельного участка </w:t>
            </w:r>
            <w:proofErr w:type="spellStart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однотрансформаторную</w:t>
            </w:r>
            <w:proofErr w:type="spellEnd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ТП-10/0,4 </w:t>
            </w:r>
            <w:proofErr w:type="spellStart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333" w:rsidRPr="00E12333" w:rsidRDefault="00E12333" w:rsidP="00E12333">
            <w:pPr>
              <w:pStyle w:val="2"/>
              <w:shd w:val="clear" w:color="auto" w:fill="auto"/>
              <w:tabs>
                <w:tab w:val="left" w:pos="940"/>
              </w:tabs>
              <w:spacing w:after="0" w:line="306" w:lineRule="exact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вновь устанавливаемой ТП-10/0,4 </w:t>
            </w:r>
            <w:proofErr w:type="spellStart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врезкой в </w:t>
            </w:r>
            <w:proofErr w:type="gramStart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существующую</w:t>
            </w:r>
            <w:proofErr w:type="gramEnd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KJI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- 10 </w:t>
            </w:r>
            <w:proofErr w:type="spellStart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ф.10-10-24 ориентировочной протяж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нностью 150 метров;</w:t>
            </w:r>
          </w:p>
          <w:p w:rsidR="00E12333" w:rsidRPr="00E12333" w:rsidRDefault="00E12333" w:rsidP="00E12333">
            <w:pPr>
              <w:pStyle w:val="2"/>
              <w:shd w:val="clear" w:color="auto" w:fill="auto"/>
              <w:tabs>
                <w:tab w:val="left" w:pos="969"/>
              </w:tabs>
              <w:spacing w:after="0" w:line="288" w:lineRule="exact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Объекта выполнить от РУ-0,4 </w:t>
            </w:r>
            <w:proofErr w:type="spellStart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вновь </w:t>
            </w:r>
            <w:proofErr w:type="gramStart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устанавливаемой</w:t>
            </w:r>
            <w:proofErr w:type="gramEnd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ТП-10/0,4 </w:t>
            </w:r>
            <w:proofErr w:type="spellStart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  <w:p w:rsidR="00E12333" w:rsidRPr="00E12333" w:rsidRDefault="00E12333" w:rsidP="00E12333">
            <w:pPr>
              <w:pStyle w:val="2"/>
              <w:shd w:val="clear" w:color="auto" w:fill="auto"/>
              <w:spacing w:after="0" w:line="288" w:lineRule="exact"/>
              <w:ind w:left="40"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Точку уч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та электрической энергии определить на границе балансовой принадлежности электрических сетей. При отсутствии технической возможности установки узлов уч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та на границе балансовой принадлежности объектов электросетевого хозяйства, узлы уч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та подлежат установке в месте, максимально приближенном к границе балансовой принадлежности, в котором имеется техническая возможность их установки.</w:t>
            </w:r>
          </w:p>
          <w:p w:rsidR="00E12333" w:rsidRPr="00E12333" w:rsidRDefault="00E12333" w:rsidP="00E12333">
            <w:pPr>
              <w:pStyle w:val="2"/>
              <w:shd w:val="clear" w:color="auto" w:fill="auto"/>
              <w:spacing w:after="0" w:line="288" w:lineRule="exact"/>
              <w:ind w:left="40"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Коммерческий уч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т электрической энергии (мощности) на розничных рынках обеспечивают гарантирующие поставщики и сетевые организации с применением приборов уч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та электрической энергии в соответствии с правилами организации уч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та электрической энергии на розничных рынках, в том числе посредством интеллектуальных систем уч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та электрической энергии (мощности).</w:t>
            </w:r>
          </w:p>
          <w:p w:rsidR="00E12333" w:rsidRPr="00E12333" w:rsidRDefault="00E12333" w:rsidP="00E12333">
            <w:pPr>
              <w:pStyle w:val="2"/>
              <w:shd w:val="clear" w:color="auto" w:fill="auto"/>
              <w:spacing w:after="0" w:line="288" w:lineRule="exact"/>
              <w:ind w:left="40"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анные мероприятия являются предварительными. При посту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плении заявки 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"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Правилами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хнологического присоединения..."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, утвержд</w:t>
            </w:r>
            <w:r w:rsidR="002553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нными постановлением Правител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ьства Российской Федерации от 27 декабря 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861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Правила ТП)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Сетевая организация организует выезд персонала для осмотра существующих объектов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321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электроэнергетики и местности для уточнения необходимых мероприятий по технологическому присоединению Объекта, в </w:t>
            </w:r>
            <w:proofErr w:type="gramStart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с чем</w:t>
            </w:r>
            <w:r w:rsidR="00321782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указанные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технологическому присоединению могут быть пересмотрены.</w:t>
            </w:r>
          </w:p>
          <w:p w:rsidR="00E12333" w:rsidRPr="00E12333" w:rsidRDefault="00E12333" w:rsidP="00E12333">
            <w:pPr>
              <w:pStyle w:val="2"/>
              <w:shd w:val="clear" w:color="auto" w:fill="auto"/>
              <w:spacing w:after="0" w:line="288" w:lineRule="exact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подпункту "д"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заявки на технологическое присоединение, поданной владельцем Объекта (заявителем) в адрес Сетевой организации, с приложением всех необходимых документов, установленных Правилами ТП. Предварительную плату 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договору технологического присоединения можно рассчитать </w:t>
            </w:r>
            <w:proofErr w:type="gramStart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на основании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и ценам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 от 22 ноября 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91-э/53.</w:t>
            </w:r>
          </w:p>
          <w:p w:rsidR="003F3214" w:rsidRPr="00B361DA" w:rsidRDefault="00E12333" w:rsidP="00E12333">
            <w:pPr>
              <w:pStyle w:val="2"/>
              <w:shd w:val="clear" w:color="auto" w:fill="auto"/>
              <w:spacing w:after="0" w:line="288" w:lineRule="exact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333">
              <w:rPr>
                <w:rFonts w:ascii="Times New Roman" w:hAnsi="Times New Roman" w:cs="Times New Roman"/>
                <w:sz w:val="24"/>
                <w:szCs w:val="24"/>
              </w:rPr>
              <w:t>Срок осуществления мероприятий по технологическому присоединению - 1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заключения договора </w:t>
            </w:r>
            <w:r w:rsidR="00C3064A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(письмо ПАО </w:t>
            </w:r>
            <w:r w:rsidR="007F1902" w:rsidRPr="00B361D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690EBE" w:rsidRPr="00B361D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 от 14 августа</w:t>
            </w:r>
            <w:r w:rsidR="00690EBE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7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A9191B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0E73B5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052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E73B5" w:rsidRPr="00B361DA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gramStart"/>
            <w:r w:rsidR="000E73B5" w:rsidRPr="00B36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0E73B5" w:rsidRPr="00B361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1/69-09/6226</w:t>
            </w:r>
            <w:r w:rsidR="00C3064A" w:rsidRPr="00B361D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3603D" w:rsidRPr="00E12333" w:rsidRDefault="00F3603D" w:rsidP="00E12333">
            <w:pPr>
              <w:pStyle w:val="1"/>
              <w:shd w:val="clear" w:color="auto" w:fill="auto"/>
              <w:spacing w:after="0" w:line="240" w:lineRule="auto"/>
              <w:ind w:left="20"/>
              <w:jc w:val="both"/>
            </w:pPr>
            <w:r w:rsidRPr="00B361DA">
              <w:rPr>
                <w:sz w:val="24"/>
                <w:szCs w:val="24"/>
              </w:rPr>
              <w:t>3.</w:t>
            </w:r>
            <w:r w:rsidR="00383646" w:rsidRPr="00B361DA">
              <w:rPr>
                <w:sz w:val="24"/>
                <w:szCs w:val="24"/>
              </w:rPr>
              <w:t xml:space="preserve">Теплоснабжение: </w:t>
            </w:r>
            <w:r w:rsidR="00E12333">
              <w:rPr>
                <w:color w:val="000000"/>
                <w:sz w:val="24"/>
                <w:szCs w:val="24"/>
              </w:rPr>
              <w:t>ПАО "ТГК-2" не эксплуатирует сети теплоснабжения в районе земельного участка с кадастровым номером 29:22:011302:526</w:t>
            </w:r>
            <w:r w:rsidR="006432D8">
              <w:rPr>
                <w:color w:val="000000"/>
                <w:sz w:val="24"/>
                <w:szCs w:val="24"/>
              </w:rPr>
              <w:t xml:space="preserve"> </w:t>
            </w:r>
            <w:r w:rsidR="00345E29" w:rsidRPr="00B361DA">
              <w:rPr>
                <w:sz w:val="24"/>
                <w:szCs w:val="24"/>
              </w:rPr>
              <w:t xml:space="preserve">(письмо ПАО "ТГК-2" </w:t>
            </w:r>
            <w:r w:rsidR="00340E23">
              <w:rPr>
                <w:sz w:val="24"/>
                <w:szCs w:val="24"/>
              </w:rPr>
              <w:br/>
            </w:r>
            <w:r w:rsidR="00345E29" w:rsidRPr="00B361DA">
              <w:rPr>
                <w:sz w:val="24"/>
                <w:szCs w:val="24"/>
              </w:rPr>
              <w:t>от</w:t>
            </w:r>
            <w:r w:rsidR="00E12333">
              <w:rPr>
                <w:sz w:val="24"/>
                <w:szCs w:val="24"/>
              </w:rPr>
              <w:t xml:space="preserve"> 10 августа</w:t>
            </w:r>
            <w:r w:rsidR="00092F2E" w:rsidRPr="00B361DA">
              <w:rPr>
                <w:sz w:val="24"/>
                <w:szCs w:val="24"/>
              </w:rPr>
              <w:t xml:space="preserve"> </w:t>
            </w:r>
            <w:r w:rsidR="00E12333">
              <w:rPr>
                <w:sz w:val="24"/>
                <w:szCs w:val="24"/>
              </w:rPr>
              <w:t>2023</w:t>
            </w:r>
            <w:r w:rsidR="00965052" w:rsidRPr="00B361DA">
              <w:rPr>
                <w:sz w:val="24"/>
                <w:szCs w:val="24"/>
              </w:rPr>
              <w:t xml:space="preserve"> года</w:t>
            </w:r>
            <w:r w:rsidR="00345E29" w:rsidRPr="00B361DA">
              <w:rPr>
                <w:sz w:val="24"/>
                <w:szCs w:val="24"/>
              </w:rPr>
              <w:t xml:space="preserve"> №</w:t>
            </w:r>
            <w:r w:rsidR="00965052" w:rsidRPr="00B361DA">
              <w:rPr>
                <w:sz w:val="24"/>
                <w:szCs w:val="24"/>
              </w:rPr>
              <w:t xml:space="preserve"> </w:t>
            </w:r>
            <w:r w:rsidR="00E12333">
              <w:rPr>
                <w:sz w:val="24"/>
                <w:szCs w:val="24"/>
              </w:rPr>
              <w:t>2400/480-2023</w:t>
            </w:r>
            <w:r w:rsidR="00345E29" w:rsidRPr="00B361DA">
              <w:rPr>
                <w:sz w:val="24"/>
                <w:szCs w:val="24"/>
              </w:rPr>
              <w:t>).</w:t>
            </w:r>
          </w:p>
          <w:p w:rsidR="00D64C92" w:rsidRPr="00B361DA" w:rsidRDefault="00D47D46" w:rsidP="0023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4773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>вблизи планируемого к стр</w:t>
            </w:r>
            <w:r w:rsidR="00E12333">
              <w:rPr>
                <w:rFonts w:ascii="Times New Roman" w:hAnsi="Times New Roman" w:cs="Times New Roman"/>
                <w:sz w:val="24"/>
                <w:szCs w:val="24"/>
              </w:rPr>
              <w:t>оительству объекта (назначение "нежилое"</w:t>
            </w:r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) на земельном участке с кадастровым номером 29:22:011302:526, расположенного по адресу: Российская Федерация, Архангельская область, </w:t>
            </w:r>
            <w:r w:rsidR="00E123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Архангельск, </w:t>
            </w:r>
            <w:proofErr w:type="spellStart"/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>Маймаксанский</w:t>
            </w:r>
            <w:proofErr w:type="spellEnd"/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округ, ул. Капитана </w:t>
            </w:r>
            <w:proofErr w:type="spellStart"/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>Хромцова</w:t>
            </w:r>
            <w:proofErr w:type="spellEnd"/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12333" w:rsidRPr="00E12333">
              <w:rPr>
                <w:rFonts w:ascii="Times New Roman" w:hAnsi="Times New Roman" w:cs="Times New Roman"/>
                <w:sz w:val="24"/>
                <w:szCs w:val="24"/>
              </w:rPr>
              <w:t>нет сетей ливневой канализ</w:t>
            </w:r>
            <w:r w:rsidR="00E12333">
              <w:rPr>
                <w:rFonts w:ascii="Times New Roman" w:hAnsi="Times New Roman" w:cs="Times New Roman"/>
                <w:sz w:val="24"/>
                <w:szCs w:val="24"/>
              </w:rPr>
              <w:t xml:space="preserve">ации, числящихся в ведении МУП "Городское благоустройство" </w:t>
            </w:r>
            <w:r w:rsidR="005C0E3F" w:rsidRPr="00B361DA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r w:rsidR="00E123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благоустройство" от 10 августа 2023</w:t>
            </w:r>
            <w:r w:rsidR="005C0E3F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F2E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E12333">
              <w:rPr>
                <w:rFonts w:ascii="Times New Roman" w:hAnsi="Times New Roman" w:cs="Times New Roman"/>
                <w:sz w:val="24"/>
                <w:szCs w:val="24"/>
              </w:rPr>
              <w:t>№ 1154</w:t>
            </w:r>
            <w:r w:rsidR="005C0E3F" w:rsidRPr="00B361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0E23" w:rsidRPr="00340E23" w:rsidRDefault="00D47D46" w:rsidP="00340E23">
            <w:pPr>
              <w:pStyle w:val="2"/>
              <w:shd w:val="clear" w:color="auto" w:fill="auto"/>
              <w:spacing w:after="0" w:line="240" w:lineRule="auto"/>
              <w:ind w:left="20"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4773"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="006432D8">
              <w:rPr>
                <w:rFonts w:ascii="Times New Roman" w:hAnsi="Times New Roman" w:cs="Times New Roman"/>
                <w:sz w:val="24"/>
                <w:szCs w:val="24"/>
              </w:rPr>
              <w:t>существующих муниципальных сетей, принадлежащих МУП "</w:t>
            </w:r>
            <w:proofErr w:type="spellStart"/>
            <w:r w:rsidR="006432D8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6432D8">
              <w:rPr>
                <w:rFonts w:ascii="Times New Roman" w:hAnsi="Times New Roman" w:cs="Times New Roman"/>
                <w:sz w:val="24"/>
                <w:szCs w:val="24"/>
              </w:rPr>
              <w:t>" в пределах земельного участка с кадастровым номером 29:22:011302:526 нет. П</w:t>
            </w:r>
            <w:r w:rsidR="00340E23"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роектом наружного освещения территории складов, складских площадок 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0E23" w:rsidRPr="00340E23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с кадастровым номером 29:22:011302.52, предусмотреть:</w:t>
            </w:r>
          </w:p>
          <w:p w:rsidR="00340E23" w:rsidRPr="00340E23" w:rsidRDefault="00340E23" w:rsidP="00340E23">
            <w:pPr>
              <w:pStyle w:val="2"/>
              <w:shd w:val="clear" w:color="auto" w:fill="auto"/>
              <w:tabs>
                <w:tab w:val="left" w:pos="270"/>
              </w:tabs>
              <w:spacing w:after="0" w:line="240" w:lineRule="auto"/>
              <w:ind w:left="20"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Освещенность территории объекта, подъездных путей к нему, парковок 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="00BF28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автомобилей, других площадок в соотве</w:t>
            </w:r>
            <w:r w:rsidR="00321782">
              <w:rPr>
                <w:rFonts w:ascii="Times New Roman" w:hAnsi="Times New Roman" w:cs="Times New Roman"/>
                <w:sz w:val="24"/>
                <w:szCs w:val="24"/>
              </w:rPr>
              <w:t xml:space="preserve">тствии требованиями СП52.13330.2016. 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Проектное решение подтвердить светотехническим расчетом.</w:t>
            </w:r>
          </w:p>
          <w:p w:rsidR="00340E23" w:rsidRPr="00340E23" w:rsidRDefault="00340E23" w:rsidP="00340E23">
            <w:pPr>
              <w:pStyle w:val="2"/>
              <w:shd w:val="clear" w:color="auto" w:fill="auto"/>
              <w:tabs>
                <w:tab w:val="left" w:pos="288"/>
              </w:tabs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Питание наружного освещения от вводно-распределительного устройства зд</w:t>
            </w:r>
            <w:r w:rsidR="00BF287A">
              <w:rPr>
                <w:rFonts w:ascii="Times New Roman" w:hAnsi="Times New Roman" w:cs="Times New Roman"/>
                <w:sz w:val="24"/>
                <w:szCs w:val="24"/>
              </w:rPr>
              <w:t>ания или от питающей Т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П, управление освещением автоматическое (по вопросу технологического присоединения проектируемой сети наружного освещения 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F287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электрическим сетям необходимо обратиться в сетевую организацию).</w:t>
            </w:r>
          </w:p>
          <w:p w:rsidR="00340E23" w:rsidRPr="00340E23" w:rsidRDefault="00340E23" w:rsidP="00340E23">
            <w:pPr>
              <w:pStyle w:val="2"/>
              <w:shd w:val="clear" w:color="auto" w:fill="auto"/>
              <w:tabs>
                <w:tab w:val="left" w:pos="274"/>
              </w:tabs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Линию наружного освещения воздушную с прокладкой самонесущею изолированного провода и установкой светильников на опорах (для освещения территории непосредственно у здания возможна прок</w:t>
            </w:r>
            <w:r w:rsidR="00BF287A">
              <w:rPr>
                <w:rFonts w:ascii="Times New Roman" w:hAnsi="Times New Roman" w:cs="Times New Roman"/>
                <w:sz w:val="24"/>
                <w:szCs w:val="24"/>
              </w:rPr>
              <w:t xml:space="preserve">ладка кабеля в </w:t>
            </w:r>
            <w:proofErr w:type="gramStart"/>
            <w:r w:rsidR="00BF287A">
              <w:rPr>
                <w:rFonts w:ascii="Times New Roman" w:hAnsi="Times New Roman" w:cs="Times New Roman"/>
                <w:sz w:val="24"/>
                <w:szCs w:val="24"/>
              </w:rPr>
              <w:t>кабель-каналах</w:t>
            </w:r>
            <w:proofErr w:type="gramEnd"/>
            <w:r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светильников на фасаде здания), или кабельную с прокладкой кабеля в земляной траншее и с установкой светильников на опорах.</w:t>
            </w:r>
          </w:p>
          <w:p w:rsidR="00321782" w:rsidRDefault="00340E23" w:rsidP="00340E23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Светильники светодиодные (рекомендуемые производители:</w:t>
            </w:r>
            <w:proofErr w:type="gramEnd"/>
            <w:r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Международн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светотехническая корпорация "БООС ЛАЙТИНГ ГРУПП", МГК "Световые Технологии", Торговая компания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Промлед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"), удовлетворяющие требованиям постановления Правительства Российской </w:t>
            </w:r>
            <w:r w:rsidR="002B0F73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24 декабря 2020 года 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2255 "Об утверждении требований к осветительным устройствам и электрическим лампам, используемым в цепях переменного тока в целях освещения" (с общим индексом цветопередачи не менее 70 </w:t>
            </w:r>
            <w:r w:rsidRPr="00340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, с коэффициентом пульса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светового потока не более </w:t>
            </w:r>
            <w:r w:rsidR="00BF28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процентов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, со световой</w:t>
            </w:r>
            <w:proofErr w:type="gramEnd"/>
            <w:r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 отдачей не менее 140 л м/Вт, цветовой температурой 3000</w:t>
            </w:r>
            <w:proofErr w:type="gramStart"/>
            <w:r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 и т.д.), подключение светильников к магистральному проводу выполнить с соблюдением чередования фаз, равномерн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распределяя нагрузку по фазам. </w:t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 xml:space="preserve">Проект согласовать 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0E23">
              <w:rPr>
                <w:rFonts w:ascii="Times New Roman" w:hAnsi="Times New Roman" w:cs="Times New Roman"/>
                <w:sz w:val="24"/>
                <w:szCs w:val="24"/>
              </w:rPr>
              <w:t>с сетевой организацией. При необходимости сводный план инж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енерных сетей согласовать с МУП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2353" w:rsidRPr="00B361DA" w:rsidRDefault="00321782" w:rsidP="00B66CA4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</w:t>
            </w:r>
            <w:r w:rsidR="00340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BB5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(письмо МУП </w:t>
            </w:r>
            <w:r w:rsidR="007F1902" w:rsidRPr="00B361D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953BB5" w:rsidRPr="00B361DA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7F1902" w:rsidRPr="00B361D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75001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0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10 августа</w:t>
            </w:r>
            <w:r w:rsidR="00287057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 года № 1369/04</w:t>
            </w:r>
            <w:r w:rsidR="00953BB5" w:rsidRPr="00B361D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340E23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55" w:type="dxa"/>
          </w:tcPr>
          <w:p w:rsidR="007A19BB" w:rsidRPr="00340E23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197689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A19BB" w:rsidRPr="00340E23" w:rsidRDefault="007A19BB" w:rsidP="002B0F7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2B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0F73" w:rsidRP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ноября 2023 года </w:t>
            </w:r>
            <w:r w:rsidR="002B0F73" w:rsidRP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6705р</w:t>
            </w:r>
            <w:r w:rsidR="002B0F73">
              <w:t xml:space="preserve"> "</w:t>
            </w:r>
            <w:r w:rsidR="002B0F73" w:rsidRPr="002B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аукцион</w:t>
            </w:r>
            <w:r w:rsidR="002B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на право заключения договора </w:t>
            </w:r>
            <w:r w:rsidR="002B0F73" w:rsidRPr="002B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земельного участка, государств</w:t>
            </w:r>
            <w:r w:rsidR="002B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енная собственность на который </w:t>
            </w:r>
            <w:r w:rsidR="002B0F73" w:rsidRPr="002B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разграничена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340E23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866F21" w:rsidTr="002A318D">
        <w:tc>
          <w:tcPr>
            <w:tcW w:w="534" w:type="dxa"/>
          </w:tcPr>
          <w:p w:rsidR="00820966" w:rsidRPr="00340E23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55" w:type="dxa"/>
          </w:tcPr>
          <w:p w:rsidR="008A08D5" w:rsidRPr="00340E23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организатора аукциона: Администрация </w:t>
            </w:r>
            <w:r w:rsidR="00197689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08D5" w:rsidRPr="00340E23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8A08D5" w:rsidRPr="00340E23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340E23" w:rsidRDefault="008A08D5" w:rsidP="00F1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телефоны организатора аукциона: тел. </w:t>
            </w:r>
            <w:r w:rsidR="004F5AB8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(8182) 60-72-90, (8182) 60-72-99 (каб.434); тел. (8182) 60-72-79 (</w:t>
            </w:r>
            <w:proofErr w:type="spellStart"/>
            <w:r w:rsidR="004F5AB8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F5AB8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407); тел. (8182) 60-72-87 (</w:t>
            </w:r>
            <w:proofErr w:type="spellStart"/>
            <w:r w:rsidR="004F5AB8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F5AB8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439).</w:t>
            </w:r>
          </w:p>
        </w:tc>
      </w:tr>
      <w:tr w:rsidR="006E3706" w:rsidRPr="00866F21" w:rsidTr="002A318D">
        <w:tc>
          <w:tcPr>
            <w:tcW w:w="534" w:type="dxa"/>
          </w:tcPr>
          <w:p w:rsidR="006E3706" w:rsidRPr="00340E23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5" w:type="dxa"/>
          </w:tcPr>
          <w:p w:rsidR="006E3706" w:rsidRPr="00340E23" w:rsidRDefault="006E3706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для представления заявок: Универсальная торговая платформа АО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– АСТ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УТП), торговая секция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(http://utp.sberbank-ast.ru) (далее – торговая секция), в соответствии с регламентом торговой секции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УТП.</w:t>
            </w:r>
          </w:p>
        </w:tc>
      </w:tr>
      <w:tr w:rsidR="006E3706" w:rsidRPr="00866F21" w:rsidTr="002A318D">
        <w:tc>
          <w:tcPr>
            <w:tcW w:w="534" w:type="dxa"/>
          </w:tcPr>
          <w:p w:rsidR="006E3706" w:rsidRPr="00340E23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55" w:type="dxa"/>
          </w:tcPr>
          <w:p w:rsidR="006E3706" w:rsidRPr="00340E23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</w:p>
          <w:p w:rsidR="006E3706" w:rsidRPr="00340E23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регистрации в торговой секции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ТС) пользователь должен быть зарегистрирован на универсальной торговой платформе АО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– АСТ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УТП) в соответствии с регламентом УТП http://utp.sberbank-ast.ru.</w:t>
            </w:r>
          </w:p>
          <w:p w:rsidR="006E3706" w:rsidRPr="00340E23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6E3706" w:rsidRPr="00340E23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  <w:proofErr w:type="gramEnd"/>
          </w:p>
        </w:tc>
      </w:tr>
      <w:tr w:rsidR="006E3706" w:rsidRPr="00866F21" w:rsidTr="002A318D">
        <w:tc>
          <w:tcPr>
            <w:tcW w:w="534" w:type="dxa"/>
          </w:tcPr>
          <w:p w:rsidR="006E3706" w:rsidRPr="00340E23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55" w:type="dxa"/>
          </w:tcPr>
          <w:p w:rsidR="006E3706" w:rsidRPr="00340E23" w:rsidRDefault="001669A2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</w:t>
            </w:r>
            <w:r w:rsidR="006E3706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6E3706" w:rsidRPr="00340E23" w:rsidRDefault="002E105A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ноября 2023 в 9 часов 00 минут</w:t>
            </w:r>
            <w:r w:rsidR="006E3706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6E3706" w:rsidRPr="00866F21" w:rsidTr="002A318D">
        <w:tc>
          <w:tcPr>
            <w:tcW w:w="534" w:type="dxa"/>
          </w:tcPr>
          <w:p w:rsidR="006E3706" w:rsidRPr="00340E23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55" w:type="dxa"/>
          </w:tcPr>
          <w:p w:rsidR="006E3706" w:rsidRPr="00340E23" w:rsidRDefault="001669A2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</w:t>
            </w:r>
            <w:r w:rsidR="006E3706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6E3706" w:rsidRPr="00340E23" w:rsidRDefault="002E105A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декабря 2023 года в 12 часов 00 минут</w:t>
            </w:r>
            <w:r w:rsidR="006E3706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6E3706" w:rsidRPr="00866F21" w:rsidTr="002A318D">
        <w:tc>
          <w:tcPr>
            <w:tcW w:w="534" w:type="dxa"/>
          </w:tcPr>
          <w:p w:rsidR="006E3706" w:rsidRPr="00340E23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55" w:type="dxa"/>
          </w:tcPr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6E3706" w:rsidRPr="00340E23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случае</w:t>
            </w:r>
            <w:proofErr w:type="gramStart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      </w: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</w:t>
            </w:r>
          </w:p>
        </w:tc>
      </w:tr>
      <w:tr w:rsidR="006E3706" w:rsidRPr="00866F21" w:rsidTr="002A318D">
        <w:tc>
          <w:tcPr>
            <w:tcW w:w="534" w:type="dxa"/>
          </w:tcPr>
          <w:p w:rsidR="006E3706" w:rsidRPr="00340E23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9355" w:type="dxa"/>
          </w:tcPr>
          <w:p w:rsid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2E105A" w:rsidRPr="00AA07A6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</w:t>
            </w:r>
            <w:r>
              <w:t xml:space="preserve"> 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описью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установленным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извещ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проведен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формам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указанием банковских реквизитов счета для возврата задатка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E105A" w:rsidRPr="00AD2E05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2E105A" w:rsidRPr="00AD2E05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6E3706" w:rsidRPr="00340E23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документы, </w:t>
            </w:r>
            <w:r w:rsidR="00B6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внесение задатка</w:t>
            </w:r>
          </w:p>
        </w:tc>
      </w:tr>
      <w:tr w:rsidR="006E3706" w:rsidRPr="00866F21" w:rsidTr="002A318D">
        <w:tc>
          <w:tcPr>
            <w:tcW w:w="534" w:type="dxa"/>
          </w:tcPr>
          <w:p w:rsidR="006E3706" w:rsidRPr="00340E23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55" w:type="dxa"/>
          </w:tcPr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АО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Сбербанк-АСТ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банка: ПАО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РОССИИ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МОСКВА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 срок поступления задатка на расчетный счет –</w:t>
            </w:r>
            <w:r w:rsid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декабря 2023 года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назначении платежа необходимо указать: Перечисление денежных сре</w:t>
            </w:r>
            <w:proofErr w:type="gram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задатка (депозита) (ИНН плательщика), НДС не облагается.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сумме задатка должны быть зачислены на лицевой счет 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средства, перечисленные за участника третьим лицом, не зачисляются </w:t>
            </w:r>
            <w:r w:rsid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счет такого участника на УТП.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задатка и/или депозита на лицевом счете на площадке не позднее одного дня, следующего за днем завершения торговой сессии.</w:t>
            </w:r>
          </w:p>
          <w:p w:rsidR="001F565A" w:rsidRPr="00340E23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6E3706" w:rsidRPr="00340E23" w:rsidRDefault="001F565A" w:rsidP="00793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 w:rsid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процентов от цены аренды земельного участка, сл</w:t>
            </w:r>
            <w:r w:rsid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ожившейся по результатам торгов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49ED" w:rsidRPr="00866F21" w:rsidTr="002A318D">
        <w:tc>
          <w:tcPr>
            <w:tcW w:w="534" w:type="dxa"/>
          </w:tcPr>
          <w:p w:rsidR="004D49ED" w:rsidRPr="00340E23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9355" w:type="dxa"/>
          </w:tcPr>
          <w:p w:rsidR="004D49ED" w:rsidRPr="00340E23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4D49ED" w:rsidRPr="00340E23" w:rsidRDefault="002E105A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декабря 2023 года</w:t>
            </w:r>
            <w:r w:rsidR="004D49ED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</w:t>
            </w:r>
            <w:proofErr w:type="spellStart"/>
            <w:r w:rsidR="004D49ED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D49ED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436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 00 минут</w:t>
            </w:r>
            <w:r w:rsidR="004D49ED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 </w:t>
            </w:r>
          </w:p>
          <w:p w:rsidR="00965052" w:rsidRPr="00340E23" w:rsidRDefault="002E105A" w:rsidP="001669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выписки (выписок) </w:t>
            </w:r>
            <w:r w:rsid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отказе в допуске претендентов к участию в аукционе, которое оформляется протоколом. </w:t>
            </w:r>
            <w:proofErr w:type="gramStart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также сведения </w:t>
            </w:r>
            <w:r w:rsid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претендентах, </w:t>
            </w: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допущенных к участию в аукционе, с указанием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чин отказа </w:t>
            </w:r>
            <w:r w:rsid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допуске к участию в нем. </w:t>
            </w: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Заявителям, признанным участниками электронного аукциона, и заявителям, не допущенным к участию в электронном</w:t>
            </w:r>
            <w:proofErr w:type="gramEnd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оператор электронной площадки направляет в электронной форме уведомления о принятых </w:t>
            </w:r>
            <w:r w:rsidR="00166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отношении их решениях не позднее дня, следующего после дня подписания протокола</w:t>
            </w:r>
          </w:p>
        </w:tc>
      </w:tr>
      <w:tr w:rsidR="004D49ED" w:rsidRPr="00866F21" w:rsidTr="002A318D">
        <w:tc>
          <w:tcPr>
            <w:tcW w:w="534" w:type="dxa"/>
          </w:tcPr>
          <w:p w:rsidR="004D49ED" w:rsidRPr="00340E23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55" w:type="dxa"/>
          </w:tcPr>
          <w:p w:rsidR="004D49ED" w:rsidRPr="00340E23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4D49ED" w:rsidRPr="00340E23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АО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– АСТ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УТП), торговая секция 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 w:rsidR="007F1902"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(http://utp.sberbank-ast.ru), начало торговой сессии </w:t>
            </w:r>
            <w:r w:rsid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декабря 2023 года</w:t>
            </w:r>
            <w:r w:rsidRPr="003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электронного аукциона участники аукциона подают предложения 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 соответствии со следующими требованиями: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ожидания предложения участника аукциона о цене предмета аукциона составляет десять минут. При поступлении предложения участника аукциона </w:t>
            </w:r>
            <w:r w:rsidR="00B6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оператору электронной площадки за участие в электронном аукционе </w:t>
            </w:r>
          </w:p>
          <w:p w:rsidR="004D49ED" w:rsidRPr="00340E23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</w:t>
            </w:r>
            <w:r w:rsidR="00B6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обедителя аукциона не взимается</w:t>
            </w:r>
          </w:p>
        </w:tc>
      </w:tr>
      <w:tr w:rsidR="004D49ED" w:rsidRPr="00866F21" w:rsidTr="002A318D">
        <w:tc>
          <w:tcPr>
            <w:tcW w:w="534" w:type="dxa"/>
          </w:tcPr>
          <w:p w:rsidR="004D49ED" w:rsidRPr="00340E23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355" w:type="dxa"/>
          </w:tcPr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проведения электронного аукциона не допускается заключение договора аренды такого участка </w:t>
            </w:r>
            <w:proofErr w:type="gramStart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proofErr w:type="gramEnd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обязан в течение пяти дней со дня истечения вышеуказанного </w:t>
            </w: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</w:p>
          <w:p w:rsidR="004D49ED" w:rsidRPr="00340E23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      </w:r>
          </w:p>
        </w:tc>
      </w:tr>
      <w:tr w:rsidR="004D49ED" w:rsidRPr="00866F21" w:rsidTr="002A318D">
        <w:tc>
          <w:tcPr>
            <w:tcW w:w="534" w:type="dxa"/>
          </w:tcPr>
          <w:p w:rsidR="004D49ED" w:rsidRPr="00340E23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9355" w:type="dxa"/>
          </w:tcPr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434. тел. (8182) 60-72-90, (8182) 60-72-99; </w:t>
            </w:r>
            <w:proofErr w:type="spellStart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439, тел. (8182)60-72-87,</w:t>
            </w:r>
          </w:p>
          <w:p w:rsidR="002E105A" w:rsidRPr="002E105A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(8182)60-72-79 в рабочие дни с 9 часов 00 минут до 12 часов 00 минут и с 14 часов </w:t>
            </w:r>
          </w:p>
          <w:p w:rsidR="004D49ED" w:rsidRPr="00340E23" w:rsidRDefault="002E105A" w:rsidP="002E10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минут до 16 часов 00 минут (время московское)</w:t>
            </w:r>
          </w:p>
        </w:tc>
      </w:tr>
    </w:tbl>
    <w:p w:rsidR="00E36253" w:rsidRDefault="00E36253" w:rsidP="00FE700E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:rsidR="00DB0317" w:rsidRPr="007E3488" w:rsidRDefault="00F24C51" w:rsidP="00F24C51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_________</w:t>
      </w:r>
    </w:p>
    <w:p w:rsidR="00DB0317" w:rsidRDefault="00DB0317" w:rsidP="00FE700E">
      <w:pPr>
        <w:rPr>
          <w:rFonts w:ascii="Times New Roman" w:eastAsia="Times New Roman" w:hAnsi="Times New Roman" w:cs="Times New Roman"/>
          <w:sz w:val="24"/>
          <w:lang w:eastAsia="ru-RU"/>
        </w:rPr>
      </w:pPr>
    </w:p>
    <w:sectPr w:rsidR="00DB0317" w:rsidSect="00F24C51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538" w:rsidRDefault="00307538">
      <w:pPr>
        <w:spacing w:after="0" w:line="240" w:lineRule="auto"/>
      </w:pPr>
      <w:r>
        <w:separator/>
      </w:r>
    </w:p>
  </w:endnote>
  <w:endnote w:type="continuationSeparator" w:id="0">
    <w:p w:rsidR="00307538" w:rsidRDefault="00307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538" w:rsidRDefault="00307538">
      <w:pPr>
        <w:spacing w:after="0" w:line="240" w:lineRule="auto"/>
      </w:pPr>
      <w:r>
        <w:separator/>
      </w:r>
    </w:p>
  </w:footnote>
  <w:footnote w:type="continuationSeparator" w:id="0">
    <w:p w:rsidR="00307538" w:rsidRDefault="00307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Default="003706D7" w:rsidP="0087524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EA73AB">
          <w:rPr>
            <w:noProof/>
          </w:rPr>
          <w:t>13</w:t>
        </w:r>
        <w:r w:rsidRPr="00062A58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427F"/>
    <w:multiLevelType w:val="multilevel"/>
    <w:tmpl w:val="6F4ADB40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86B6A"/>
    <w:multiLevelType w:val="hybridMultilevel"/>
    <w:tmpl w:val="3D403650"/>
    <w:lvl w:ilvl="0" w:tplc="13D06AA2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3C177DA8"/>
    <w:multiLevelType w:val="multilevel"/>
    <w:tmpl w:val="F2008A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910D9E"/>
    <w:multiLevelType w:val="multilevel"/>
    <w:tmpl w:val="1B90A6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1D3DE3"/>
    <w:multiLevelType w:val="multilevel"/>
    <w:tmpl w:val="D0A87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F70014"/>
    <w:multiLevelType w:val="hybridMultilevel"/>
    <w:tmpl w:val="5AE0AD28"/>
    <w:lvl w:ilvl="0" w:tplc="0548F2A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05EFD"/>
    <w:rsid w:val="00005EFF"/>
    <w:rsid w:val="00013E1E"/>
    <w:rsid w:val="000208CA"/>
    <w:rsid w:val="00024B20"/>
    <w:rsid w:val="000306E3"/>
    <w:rsid w:val="000406D5"/>
    <w:rsid w:val="00047F62"/>
    <w:rsid w:val="000746F8"/>
    <w:rsid w:val="000916B4"/>
    <w:rsid w:val="00092F2E"/>
    <w:rsid w:val="000A34A4"/>
    <w:rsid w:val="000A3BF0"/>
    <w:rsid w:val="000B6E56"/>
    <w:rsid w:val="000C2DC9"/>
    <w:rsid w:val="000E1EF1"/>
    <w:rsid w:val="000E2F0A"/>
    <w:rsid w:val="000E3107"/>
    <w:rsid w:val="000E73B5"/>
    <w:rsid w:val="000F2B09"/>
    <w:rsid w:val="000F5B6E"/>
    <w:rsid w:val="00101B15"/>
    <w:rsid w:val="00112C67"/>
    <w:rsid w:val="00130350"/>
    <w:rsid w:val="00155C15"/>
    <w:rsid w:val="00163193"/>
    <w:rsid w:val="0016370F"/>
    <w:rsid w:val="001669A2"/>
    <w:rsid w:val="00171733"/>
    <w:rsid w:val="00175459"/>
    <w:rsid w:val="0018757C"/>
    <w:rsid w:val="00197689"/>
    <w:rsid w:val="001A7E22"/>
    <w:rsid w:val="001C277A"/>
    <w:rsid w:val="001D1434"/>
    <w:rsid w:val="001E6883"/>
    <w:rsid w:val="001F07FB"/>
    <w:rsid w:val="001F565A"/>
    <w:rsid w:val="002004B3"/>
    <w:rsid w:val="002060BC"/>
    <w:rsid w:val="00214FE1"/>
    <w:rsid w:val="00216D3B"/>
    <w:rsid w:val="00223D60"/>
    <w:rsid w:val="00231395"/>
    <w:rsid w:val="00236BB3"/>
    <w:rsid w:val="0025187B"/>
    <w:rsid w:val="00255356"/>
    <w:rsid w:val="002565B0"/>
    <w:rsid w:val="002619A2"/>
    <w:rsid w:val="00263177"/>
    <w:rsid w:val="00270EE4"/>
    <w:rsid w:val="00277BAB"/>
    <w:rsid w:val="00277F0D"/>
    <w:rsid w:val="00281647"/>
    <w:rsid w:val="0028349B"/>
    <w:rsid w:val="00287057"/>
    <w:rsid w:val="00293544"/>
    <w:rsid w:val="002957AD"/>
    <w:rsid w:val="002A0ACB"/>
    <w:rsid w:val="002A135D"/>
    <w:rsid w:val="002A1AFF"/>
    <w:rsid w:val="002A318D"/>
    <w:rsid w:val="002B0F73"/>
    <w:rsid w:val="002D20F4"/>
    <w:rsid w:val="002E105A"/>
    <w:rsid w:val="002E1F03"/>
    <w:rsid w:val="002F11C5"/>
    <w:rsid w:val="002F11DC"/>
    <w:rsid w:val="002F2FCD"/>
    <w:rsid w:val="00300316"/>
    <w:rsid w:val="003013D2"/>
    <w:rsid w:val="00307538"/>
    <w:rsid w:val="003119BB"/>
    <w:rsid w:val="00312FFE"/>
    <w:rsid w:val="00321782"/>
    <w:rsid w:val="003278E0"/>
    <w:rsid w:val="00340AC8"/>
    <w:rsid w:val="00340E23"/>
    <w:rsid w:val="003440AC"/>
    <w:rsid w:val="00345E29"/>
    <w:rsid w:val="00350707"/>
    <w:rsid w:val="00350CD7"/>
    <w:rsid w:val="00355824"/>
    <w:rsid w:val="003706D7"/>
    <w:rsid w:val="00377CC4"/>
    <w:rsid w:val="00383646"/>
    <w:rsid w:val="00392B9D"/>
    <w:rsid w:val="003A0F8C"/>
    <w:rsid w:val="003B192C"/>
    <w:rsid w:val="003B2440"/>
    <w:rsid w:val="003C29F4"/>
    <w:rsid w:val="003E00F8"/>
    <w:rsid w:val="003F3214"/>
    <w:rsid w:val="00403DEB"/>
    <w:rsid w:val="00412A8F"/>
    <w:rsid w:val="00415A52"/>
    <w:rsid w:val="004226A2"/>
    <w:rsid w:val="00424475"/>
    <w:rsid w:val="00424F0E"/>
    <w:rsid w:val="00426406"/>
    <w:rsid w:val="00430259"/>
    <w:rsid w:val="00436DA2"/>
    <w:rsid w:val="00464F7B"/>
    <w:rsid w:val="004765D3"/>
    <w:rsid w:val="00481CD0"/>
    <w:rsid w:val="00483472"/>
    <w:rsid w:val="00486DCB"/>
    <w:rsid w:val="004B04EB"/>
    <w:rsid w:val="004B2FEF"/>
    <w:rsid w:val="004C205D"/>
    <w:rsid w:val="004C5C92"/>
    <w:rsid w:val="004D1806"/>
    <w:rsid w:val="004D3A42"/>
    <w:rsid w:val="004D49ED"/>
    <w:rsid w:val="004E27D2"/>
    <w:rsid w:val="004F1002"/>
    <w:rsid w:val="004F5AB8"/>
    <w:rsid w:val="00506C9A"/>
    <w:rsid w:val="00514E1A"/>
    <w:rsid w:val="005271AD"/>
    <w:rsid w:val="0053081A"/>
    <w:rsid w:val="00533EF9"/>
    <w:rsid w:val="0053675D"/>
    <w:rsid w:val="00543678"/>
    <w:rsid w:val="005509BD"/>
    <w:rsid w:val="00556BBB"/>
    <w:rsid w:val="00556E95"/>
    <w:rsid w:val="00565CD4"/>
    <w:rsid w:val="00567EB7"/>
    <w:rsid w:val="005700DE"/>
    <w:rsid w:val="00572419"/>
    <w:rsid w:val="00575217"/>
    <w:rsid w:val="00581D1E"/>
    <w:rsid w:val="00585B58"/>
    <w:rsid w:val="00586197"/>
    <w:rsid w:val="00587356"/>
    <w:rsid w:val="005913E6"/>
    <w:rsid w:val="00591442"/>
    <w:rsid w:val="00596CDE"/>
    <w:rsid w:val="005C0E3F"/>
    <w:rsid w:val="005C496F"/>
    <w:rsid w:val="005C5145"/>
    <w:rsid w:val="005D058B"/>
    <w:rsid w:val="005E0E28"/>
    <w:rsid w:val="00605D43"/>
    <w:rsid w:val="00612353"/>
    <w:rsid w:val="006221A3"/>
    <w:rsid w:val="00625FC7"/>
    <w:rsid w:val="00632CE8"/>
    <w:rsid w:val="006361B1"/>
    <w:rsid w:val="006401CE"/>
    <w:rsid w:val="00642C5E"/>
    <w:rsid w:val="006432D8"/>
    <w:rsid w:val="0064357E"/>
    <w:rsid w:val="0064727A"/>
    <w:rsid w:val="006477B8"/>
    <w:rsid w:val="006542DA"/>
    <w:rsid w:val="00672C8F"/>
    <w:rsid w:val="00673B02"/>
    <w:rsid w:val="00675B15"/>
    <w:rsid w:val="00690EBE"/>
    <w:rsid w:val="006921A8"/>
    <w:rsid w:val="00695BEA"/>
    <w:rsid w:val="0069712A"/>
    <w:rsid w:val="006A59EE"/>
    <w:rsid w:val="006B21C5"/>
    <w:rsid w:val="006B5B31"/>
    <w:rsid w:val="006B6F40"/>
    <w:rsid w:val="006D3DFA"/>
    <w:rsid w:val="006D4539"/>
    <w:rsid w:val="006D4773"/>
    <w:rsid w:val="006D4DFD"/>
    <w:rsid w:val="006E3706"/>
    <w:rsid w:val="006E4AF6"/>
    <w:rsid w:val="006E6D49"/>
    <w:rsid w:val="006F2978"/>
    <w:rsid w:val="00702D32"/>
    <w:rsid w:val="00703553"/>
    <w:rsid w:val="00704912"/>
    <w:rsid w:val="007101B8"/>
    <w:rsid w:val="0071487F"/>
    <w:rsid w:val="007173E9"/>
    <w:rsid w:val="00721BEC"/>
    <w:rsid w:val="00721CDF"/>
    <w:rsid w:val="007224FD"/>
    <w:rsid w:val="00727704"/>
    <w:rsid w:val="007331A8"/>
    <w:rsid w:val="00744DF6"/>
    <w:rsid w:val="007648ED"/>
    <w:rsid w:val="0076655A"/>
    <w:rsid w:val="0077002C"/>
    <w:rsid w:val="00777754"/>
    <w:rsid w:val="007879EB"/>
    <w:rsid w:val="00790A4A"/>
    <w:rsid w:val="0079353F"/>
    <w:rsid w:val="007A19BB"/>
    <w:rsid w:val="007A1B9A"/>
    <w:rsid w:val="007D49AC"/>
    <w:rsid w:val="007D5D9C"/>
    <w:rsid w:val="007E5D4E"/>
    <w:rsid w:val="007F0454"/>
    <w:rsid w:val="007F1296"/>
    <w:rsid w:val="007F1902"/>
    <w:rsid w:val="007F2123"/>
    <w:rsid w:val="007F6B3D"/>
    <w:rsid w:val="008038CC"/>
    <w:rsid w:val="00817304"/>
    <w:rsid w:val="00820966"/>
    <w:rsid w:val="008234AC"/>
    <w:rsid w:val="00824087"/>
    <w:rsid w:val="00827B98"/>
    <w:rsid w:val="00835B1E"/>
    <w:rsid w:val="0084718A"/>
    <w:rsid w:val="008472FB"/>
    <w:rsid w:val="00860259"/>
    <w:rsid w:val="0086244F"/>
    <w:rsid w:val="0086264A"/>
    <w:rsid w:val="00866682"/>
    <w:rsid w:val="00871A1F"/>
    <w:rsid w:val="00875001"/>
    <w:rsid w:val="00875247"/>
    <w:rsid w:val="00875F8C"/>
    <w:rsid w:val="008810E0"/>
    <w:rsid w:val="00885F97"/>
    <w:rsid w:val="008A08D5"/>
    <w:rsid w:val="008A1E7B"/>
    <w:rsid w:val="008A3D98"/>
    <w:rsid w:val="008B2E5A"/>
    <w:rsid w:val="008B304F"/>
    <w:rsid w:val="008B63E0"/>
    <w:rsid w:val="008C3F55"/>
    <w:rsid w:val="008D6177"/>
    <w:rsid w:val="008E21A9"/>
    <w:rsid w:val="008E24A3"/>
    <w:rsid w:val="008F0720"/>
    <w:rsid w:val="008F07BD"/>
    <w:rsid w:val="008F7F43"/>
    <w:rsid w:val="00903932"/>
    <w:rsid w:val="00906567"/>
    <w:rsid w:val="00913299"/>
    <w:rsid w:val="00916CC5"/>
    <w:rsid w:val="00925AD6"/>
    <w:rsid w:val="00936CED"/>
    <w:rsid w:val="00945F13"/>
    <w:rsid w:val="00946542"/>
    <w:rsid w:val="00946984"/>
    <w:rsid w:val="00951597"/>
    <w:rsid w:val="009520A6"/>
    <w:rsid w:val="009535A8"/>
    <w:rsid w:val="00953BB5"/>
    <w:rsid w:val="009600CA"/>
    <w:rsid w:val="00965052"/>
    <w:rsid w:val="0097546F"/>
    <w:rsid w:val="00977A84"/>
    <w:rsid w:val="00990170"/>
    <w:rsid w:val="0099280F"/>
    <w:rsid w:val="009B2349"/>
    <w:rsid w:val="009B4AE7"/>
    <w:rsid w:val="009C3CEA"/>
    <w:rsid w:val="009C532A"/>
    <w:rsid w:val="009C6A5B"/>
    <w:rsid w:val="009E0569"/>
    <w:rsid w:val="009F2BEC"/>
    <w:rsid w:val="009F2F21"/>
    <w:rsid w:val="009F2F8E"/>
    <w:rsid w:val="00A003E8"/>
    <w:rsid w:val="00A05F14"/>
    <w:rsid w:val="00A1551B"/>
    <w:rsid w:val="00A23C67"/>
    <w:rsid w:val="00A244A5"/>
    <w:rsid w:val="00A318C6"/>
    <w:rsid w:val="00A51D5F"/>
    <w:rsid w:val="00A53FFB"/>
    <w:rsid w:val="00A6049E"/>
    <w:rsid w:val="00A647B8"/>
    <w:rsid w:val="00A863A0"/>
    <w:rsid w:val="00A9191B"/>
    <w:rsid w:val="00AB08DA"/>
    <w:rsid w:val="00AC2240"/>
    <w:rsid w:val="00AC6E54"/>
    <w:rsid w:val="00AE6315"/>
    <w:rsid w:val="00AF78FD"/>
    <w:rsid w:val="00B0488C"/>
    <w:rsid w:val="00B05151"/>
    <w:rsid w:val="00B232BB"/>
    <w:rsid w:val="00B274B1"/>
    <w:rsid w:val="00B31840"/>
    <w:rsid w:val="00B325C5"/>
    <w:rsid w:val="00B361DA"/>
    <w:rsid w:val="00B41DA5"/>
    <w:rsid w:val="00B446F2"/>
    <w:rsid w:val="00B47A3D"/>
    <w:rsid w:val="00B520DB"/>
    <w:rsid w:val="00B61194"/>
    <w:rsid w:val="00B66CA4"/>
    <w:rsid w:val="00B72A5E"/>
    <w:rsid w:val="00B821CE"/>
    <w:rsid w:val="00BA1950"/>
    <w:rsid w:val="00BA7228"/>
    <w:rsid w:val="00BC285B"/>
    <w:rsid w:val="00BC2D6F"/>
    <w:rsid w:val="00BF0E45"/>
    <w:rsid w:val="00BF238B"/>
    <w:rsid w:val="00BF287A"/>
    <w:rsid w:val="00BF3F8A"/>
    <w:rsid w:val="00C10803"/>
    <w:rsid w:val="00C162E7"/>
    <w:rsid w:val="00C17F67"/>
    <w:rsid w:val="00C23A9E"/>
    <w:rsid w:val="00C23BB2"/>
    <w:rsid w:val="00C3064A"/>
    <w:rsid w:val="00C37E8A"/>
    <w:rsid w:val="00C62B5D"/>
    <w:rsid w:val="00C71966"/>
    <w:rsid w:val="00C80488"/>
    <w:rsid w:val="00C96FCE"/>
    <w:rsid w:val="00CA2BEB"/>
    <w:rsid w:val="00CA53BC"/>
    <w:rsid w:val="00CB61D0"/>
    <w:rsid w:val="00CC431C"/>
    <w:rsid w:val="00CD213E"/>
    <w:rsid w:val="00CD7C67"/>
    <w:rsid w:val="00D0014E"/>
    <w:rsid w:val="00D02752"/>
    <w:rsid w:val="00D128D3"/>
    <w:rsid w:val="00D2463A"/>
    <w:rsid w:val="00D26427"/>
    <w:rsid w:val="00D41D3E"/>
    <w:rsid w:val="00D46D51"/>
    <w:rsid w:val="00D47D46"/>
    <w:rsid w:val="00D57559"/>
    <w:rsid w:val="00D64C92"/>
    <w:rsid w:val="00D73449"/>
    <w:rsid w:val="00D84B78"/>
    <w:rsid w:val="00D93FE2"/>
    <w:rsid w:val="00D940EA"/>
    <w:rsid w:val="00DA42B4"/>
    <w:rsid w:val="00DA7E88"/>
    <w:rsid w:val="00DB0317"/>
    <w:rsid w:val="00DB1F33"/>
    <w:rsid w:val="00DB4BAF"/>
    <w:rsid w:val="00DC2B0D"/>
    <w:rsid w:val="00DE4C17"/>
    <w:rsid w:val="00DE6162"/>
    <w:rsid w:val="00DE650F"/>
    <w:rsid w:val="00DF752F"/>
    <w:rsid w:val="00E0467B"/>
    <w:rsid w:val="00E0532E"/>
    <w:rsid w:val="00E108C9"/>
    <w:rsid w:val="00E12333"/>
    <w:rsid w:val="00E13B9D"/>
    <w:rsid w:val="00E14EE6"/>
    <w:rsid w:val="00E166C4"/>
    <w:rsid w:val="00E229DA"/>
    <w:rsid w:val="00E309FE"/>
    <w:rsid w:val="00E34246"/>
    <w:rsid w:val="00E347ED"/>
    <w:rsid w:val="00E36253"/>
    <w:rsid w:val="00E375B3"/>
    <w:rsid w:val="00E558B0"/>
    <w:rsid w:val="00E55B7A"/>
    <w:rsid w:val="00E641E8"/>
    <w:rsid w:val="00E8421A"/>
    <w:rsid w:val="00EA73AB"/>
    <w:rsid w:val="00ED0EE1"/>
    <w:rsid w:val="00ED594F"/>
    <w:rsid w:val="00ED5EBC"/>
    <w:rsid w:val="00ED6EEF"/>
    <w:rsid w:val="00EE4B6B"/>
    <w:rsid w:val="00EE4EBB"/>
    <w:rsid w:val="00EF21CC"/>
    <w:rsid w:val="00EF3F23"/>
    <w:rsid w:val="00F145A6"/>
    <w:rsid w:val="00F227C3"/>
    <w:rsid w:val="00F24C51"/>
    <w:rsid w:val="00F25577"/>
    <w:rsid w:val="00F265D6"/>
    <w:rsid w:val="00F3603D"/>
    <w:rsid w:val="00F36902"/>
    <w:rsid w:val="00F53E54"/>
    <w:rsid w:val="00F70381"/>
    <w:rsid w:val="00F9092E"/>
    <w:rsid w:val="00FC1694"/>
    <w:rsid w:val="00FC224F"/>
    <w:rsid w:val="00FC5E1C"/>
    <w:rsid w:val="00FD67E7"/>
    <w:rsid w:val="00FE07C3"/>
    <w:rsid w:val="00FE700E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6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+ 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D93FE2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5pt">
    <w:name w:val="Основной текст + 7;5 pt;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;Не полужирный"/>
    <w:basedOn w:val="ab"/>
    <w:rsid w:val="00F2557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rial85pt">
    <w:name w:val="Основной текст + Arial;8;5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7pt">
    <w:name w:val="Основной текст + Arial;7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pt">
    <w:name w:val="Основной текст + 10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0">
    <w:name w:val="Основной текст (6)_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rsid w:val="00E12333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7Exact">
    <w:name w:val="Основной текст (7) Exact"/>
    <w:basedOn w:val="a0"/>
    <w:link w:val="70"/>
    <w:rsid w:val="00340E23"/>
    <w:rPr>
      <w:rFonts w:ascii="Gulim" w:eastAsia="Gulim" w:hAnsi="Gulim" w:cs="Gulim"/>
      <w:spacing w:val="13"/>
      <w:sz w:val="19"/>
      <w:szCs w:val="19"/>
      <w:shd w:val="clear" w:color="auto" w:fill="FFFFFF"/>
    </w:rPr>
  </w:style>
  <w:style w:type="character" w:customStyle="1" w:styleId="77pt0ptExact">
    <w:name w:val="Основной текст (7) + 7 pt;Интервал 0 pt Exact"/>
    <w:basedOn w:val="7Exact"/>
    <w:rsid w:val="00340E23"/>
    <w:rPr>
      <w:rFonts w:ascii="Gulim" w:eastAsia="Gulim" w:hAnsi="Gulim" w:cs="Gulim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ab"/>
    <w:rsid w:val="00340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Exact"/>
    <w:rsid w:val="00340E23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pacing w:val="13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6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+ 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D93FE2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5pt">
    <w:name w:val="Основной текст + 7;5 pt;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;Не полужирный"/>
    <w:basedOn w:val="ab"/>
    <w:rsid w:val="00F2557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rial85pt">
    <w:name w:val="Основной текст + Arial;8;5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7pt">
    <w:name w:val="Основной текст + Arial;7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pt">
    <w:name w:val="Основной текст + 10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0">
    <w:name w:val="Основной текст (6)_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rsid w:val="00E12333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7Exact">
    <w:name w:val="Основной текст (7) Exact"/>
    <w:basedOn w:val="a0"/>
    <w:link w:val="70"/>
    <w:rsid w:val="00340E23"/>
    <w:rPr>
      <w:rFonts w:ascii="Gulim" w:eastAsia="Gulim" w:hAnsi="Gulim" w:cs="Gulim"/>
      <w:spacing w:val="13"/>
      <w:sz w:val="19"/>
      <w:szCs w:val="19"/>
      <w:shd w:val="clear" w:color="auto" w:fill="FFFFFF"/>
    </w:rPr>
  </w:style>
  <w:style w:type="character" w:customStyle="1" w:styleId="77pt0ptExact">
    <w:name w:val="Основной текст (7) + 7 pt;Интервал 0 pt Exact"/>
    <w:basedOn w:val="7Exact"/>
    <w:rsid w:val="00340E23"/>
    <w:rPr>
      <w:rFonts w:ascii="Gulim" w:eastAsia="Gulim" w:hAnsi="Gulim" w:cs="Gulim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ab"/>
    <w:rsid w:val="00340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Exact"/>
    <w:rsid w:val="00340E23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pacing w:val="13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3971E18270DF9B7F1C97D576534EBF59AD56C607A32E8051094BE216A961C5573661BA071E69C37v9r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69BC62C53DD71BBCF6C788E04C72C6C0F8453F3DF7A81CCC6634872AD992B5E2B599CD76B20I0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9BC62C53DD71BBCF6C788E04C72C6C0F8453F3DF7A81CCC6634872AD992B5E2B599CD76A20I1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DEC2EE4C2A25E573CE445C4DA1E324E5C7CDE9772F05ABEC06662E1366D126421DBFAD717B3BA390c0IF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EC2EE4C2A25E573CE445C4DA1E324E5C7CDE9772F05ABEC06662E1366D126421DBFAD717B3BA393c0IAE" TargetMode="External"/><Relationship Id="rId14" Type="http://schemas.openxmlformats.org/officeDocument/2006/relationships/hyperlink" Target="consultantplus://offline/ref=33971E18270DF9B7F1C97D576534EBF59AD56C607A32E8051094BE216A961C5573661BA071E69C35v9r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AB7AF-3727-489B-A05B-FCB45FB0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4950</Words>
  <Characters>28216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Виктория Викторовна Горчакова</cp:lastModifiedBy>
  <cp:revision>7</cp:revision>
  <cp:lastPrinted>2023-11-24T15:10:00Z</cp:lastPrinted>
  <dcterms:created xsi:type="dcterms:W3CDTF">2023-11-28T08:36:00Z</dcterms:created>
  <dcterms:modified xsi:type="dcterms:W3CDTF">2023-11-28T14:01:00Z</dcterms:modified>
</cp:coreProperties>
</file>